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C7" w:rsidRPr="00B72558" w:rsidRDefault="00B15521" w:rsidP="008F5D18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725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Raport z k</w:t>
      </w:r>
      <w:r w:rsidR="00B032C7" w:rsidRPr="00B725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onsultacj</w:t>
      </w:r>
      <w:r w:rsidRPr="00B725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="00B032C7" w:rsidRPr="00B725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społeczn</w:t>
      </w:r>
      <w:r w:rsidRPr="00B725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ych</w:t>
      </w:r>
      <w:r w:rsidR="00B032C7" w:rsidRPr="00B725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 przedmiocie zasad V edycji Budżetu Obywatelskiego Miasta Lublin. </w:t>
      </w:r>
    </w:p>
    <w:p w:rsidR="00B032C7" w:rsidRPr="00B72558" w:rsidRDefault="00B032C7" w:rsidP="008F5D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Lublin </w:t>
      </w:r>
      <w:r w:rsidR="005642F9" w:rsidRPr="00B72558">
        <w:rPr>
          <w:rFonts w:ascii="Arial" w:eastAsia="Times New Roman" w:hAnsi="Arial" w:cs="Arial"/>
          <w:sz w:val="24"/>
          <w:szCs w:val="24"/>
          <w:lang w:eastAsia="pl-PL"/>
        </w:rPr>
        <w:t>ogłosił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konsultacje społeczne z mieszkańcami Miasta Lublin w przedmiocie zasad przeznaczania części wydatków z budżetu Miasta Lublin, zwanych dalej „Budżetem Obywatelskim Miasta Lublin”, na wskazane przez Mieszkańców i Mieszkanki projekty mieszczące się w kompetencjach Miasta Lublin.</w:t>
      </w:r>
    </w:p>
    <w:p w:rsidR="0009448E" w:rsidRPr="00B72558" w:rsidRDefault="00BA5F46" w:rsidP="00BA5F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>Konsultacje społeczne trwały od 11 października 2017 r. do 31 stycznia 2018 r. Ich p</w:t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>rzedmiot</w:t>
      </w:r>
      <w:r w:rsidR="000E6A9F" w:rsidRPr="00B72558">
        <w:rPr>
          <w:rFonts w:ascii="Arial" w:eastAsia="Times New Roman" w:hAnsi="Arial" w:cs="Arial"/>
          <w:sz w:val="24"/>
          <w:szCs w:val="24"/>
          <w:lang w:eastAsia="pl-PL"/>
        </w:rPr>
        <w:t>em były z</w:t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>asady V edycji Budżetu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Obywatelskiego Miasta Lublin. </w:t>
      </w:r>
    </w:p>
    <w:p w:rsidR="0009448E" w:rsidRPr="00B72558" w:rsidRDefault="0009448E" w:rsidP="008F5D1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448E" w:rsidRPr="00B72558" w:rsidRDefault="0009448E" w:rsidP="009D15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Równolegle do konsultacji prowadzona była ewaluacja Budżetu Obywatelskiego</w:t>
      </w:r>
      <w:r w:rsidR="00FE3B63">
        <w:rPr>
          <w:rFonts w:ascii="Arial" w:hAnsi="Arial" w:cs="Arial"/>
          <w:sz w:val="24"/>
          <w:szCs w:val="24"/>
        </w:rPr>
        <w:t xml:space="preserve">. </w:t>
      </w:r>
      <w:r w:rsidRPr="00B72558">
        <w:rPr>
          <w:rFonts w:ascii="Arial" w:hAnsi="Arial" w:cs="Arial"/>
          <w:sz w:val="24"/>
          <w:szCs w:val="24"/>
        </w:rPr>
        <w:t xml:space="preserve">Badacze uczestniczyli w każdym etapie konsultacji. Raport z ewaluacji stanowi załącznik do niniejszego raportu. </w:t>
      </w:r>
    </w:p>
    <w:p w:rsidR="00C11515" w:rsidRPr="00B72558" w:rsidRDefault="00CC560B" w:rsidP="009D15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Informacje o konsultacjach zamieszczone były na stronie internetowej Miasta Lublin, </w:t>
      </w:r>
      <w:r w:rsidR="00BA5F46" w:rsidRPr="00B72558">
        <w:rPr>
          <w:rFonts w:ascii="Arial" w:hAnsi="Arial" w:cs="Arial"/>
          <w:sz w:val="24"/>
          <w:szCs w:val="24"/>
        </w:rPr>
        <w:t xml:space="preserve">w mediach </w:t>
      </w:r>
      <w:r w:rsidRPr="00B72558">
        <w:rPr>
          <w:rFonts w:ascii="Arial" w:hAnsi="Arial" w:cs="Arial"/>
          <w:sz w:val="24"/>
          <w:szCs w:val="24"/>
        </w:rPr>
        <w:t>społecznościowy</w:t>
      </w:r>
      <w:r w:rsidR="00BA5F46" w:rsidRPr="00B72558">
        <w:rPr>
          <w:rFonts w:ascii="Arial" w:hAnsi="Arial" w:cs="Arial"/>
          <w:sz w:val="24"/>
          <w:szCs w:val="24"/>
        </w:rPr>
        <w:t>ch</w:t>
      </w:r>
      <w:r w:rsidRPr="00B72558">
        <w:rPr>
          <w:rFonts w:ascii="Arial" w:hAnsi="Arial" w:cs="Arial"/>
          <w:sz w:val="24"/>
          <w:szCs w:val="24"/>
        </w:rPr>
        <w:t xml:space="preserve"> a także został</w:t>
      </w:r>
      <w:r w:rsidR="00BA5F46" w:rsidRPr="00B72558">
        <w:rPr>
          <w:rFonts w:ascii="Arial" w:hAnsi="Arial" w:cs="Arial"/>
          <w:sz w:val="24"/>
          <w:szCs w:val="24"/>
        </w:rPr>
        <w:t>y</w:t>
      </w:r>
      <w:r w:rsidRPr="00B72558">
        <w:rPr>
          <w:rFonts w:ascii="Arial" w:hAnsi="Arial" w:cs="Arial"/>
          <w:sz w:val="24"/>
          <w:szCs w:val="24"/>
        </w:rPr>
        <w:t xml:space="preserve"> przesłan</w:t>
      </w:r>
      <w:r w:rsidR="00BA5F46" w:rsidRPr="00B72558">
        <w:rPr>
          <w:rFonts w:ascii="Arial" w:hAnsi="Arial" w:cs="Arial"/>
          <w:sz w:val="24"/>
          <w:szCs w:val="24"/>
        </w:rPr>
        <w:t>e elektronicznie</w:t>
      </w:r>
      <w:r w:rsidRPr="00B72558">
        <w:rPr>
          <w:rFonts w:ascii="Arial" w:hAnsi="Arial" w:cs="Arial"/>
          <w:sz w:val="24"/>
          <w:szCs w:val="24"/>
        </w:rPr>
        <w:t xml:space="preserve"> do R</w:t>
      </w:r>
      <w:r w:rsidR="008F5D18" w:rsidRPr="00B72558">
        <w:rPr>
          <w:rFonts w:ascii="Arial" w:hAnsi="Arial" w:cs="Arial"/>
          <w:sz w:val="24"/>
          <w:szCs w:val="24"/>
        </w:rPr>
        <w:t>adnych Miejskich, Rad Dzielnic oraz mediów.</w:t>
      </w:r>
    </w:p>
    <w:p w:rsidR="008F5D18" w:rsidRPr="00B72558" w:rsidRDefault="00FE3B63" w:rsidP="008F5D1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Konsultacje r</w:t>
      </w:r>
      <w:r w:rsidR="00C11515" w:rsidRPr="00B72558">
        <w:rPr>
          <w:rFonts w:ascii="Arial" w:hAnsi="Arial" w:cs="Arial"/>
          <w:b/>
          <w:sz w:val="24"/>
          <w:szCs w:val="24"/>
        </w:rPr>
        <w:t>ozłożone były na 3 etapy:</w:t>
      </w:r>
    </w:p>
    <w:p w:rsidR="00BA5F46" w:rsidRPr="00B72558" w:rsidRDefault="00B032C7" w:rsidP="008F5D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359D8"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3A3" w:rsidRPr="00B7255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rzyjmowanie opinii na piśmie za pośrednictwem poczty, Biur Obsługi Mieszkańców oraz drogą elektroniczną na adres </w:t>
      </w:r>
      <w:hyperlink r:id="rId5" w:history="1">
        <w:r w:rsidR="00BA5F46" w:rsidRPr="00B7255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obywatelski@lublin.eu</w:t>
        </w:r>
      </w:hyperlink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w terminie od 11 października 2017 r. do 19 listopada 2017 r.; </w:t>
      </w:r>
    </w:p>
    <w:p w:rsidR="00C11515" w:rsidRPr="00B72558" w:rsidRDefault="00C11515" w:rsidP="008F5D1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Na tym etapie wpłynęły uwagi od 22 osób. Stanowią one załącznik do niniejszego raportu. </w:t>
      </w:r>
    </w:p>
    <w:p w:rsidR="00F359D8" w:rsidRPr="00B72558" w:rsidRDefault="00F359D8" w:rsidP="008F5D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="00B032C7"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F43A3" w:rsidRPr="00B7255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>arsztat dla grupy Mieszkańców i Mieszkanek, którzy zgłosili swoje uwagi</w:t>
      </w:r>
      <w:r w:rsidR="00FE3B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w pierwszym 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>etapie.</w:t>
      </w:r>
    </w:p>
    <w:p w:rsidR="0015686F" w:rsidRPr="00B72558" w:rsidRDefault="0015686F" w:rsidP="008F5D1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Warsztat odbył się </w:t>
      </w:r>
      <w:r w:rsidRPr="00B72558">
        <w:rPr>
          <w:rFonts w:ascii="Arial" w:hAnsi="Arial" w:cs="Arial"/>
          <w:sz w:val="24"/>
          <w:szCs w:val="24"/>
        </w:rPr>
        <w:t>23 listopada 2017 r. w godzinach od 17.00 do 18.30</w:t>
      </w:r>
      <w:r w:rsidR="00F359D8" w:rsidRPr="00B72558">
        <w:rPr>
          <w:rFonts w:ascii="Arial" w:hAnsi="Arial" w:cs="Arial"/>
          <w:sz w:val="24"/>
          <w:szCs w:val="24"/>
        </w:rPr>
        <w:t xml:space="preserve">. </w:t>
      </w:r>
      <w:r w:rsidRPr="00B72558">
        <w:rPr>
          <w:rFonts w:ascii="Arial" w:hAnsi="Arial" w:cs="Arial"/>
          <w:sz w:val="24"/>
          <w:szCs w:val="24"/>
        </w:rPr>
        <w:t>Jego celem była diagnoza problemów pojawiających na poszczególnych etapach Budżetu Obywatelskiego oraz wypracowanie wspólnych rozwiązań.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W w</w:t>
      </w:r>
      <w:r w:rsidR="000F43A3" w:rsidRPr="00B72558">
        <w:rPr>
          <w:rFonts w:ascii="Arial" w:hAnsi="Arial" w:cs="Arial"/>
          <w:sz w:val="24"/>
          <w:szCs w:val="24"/>
        </w:rPr>
        <w:t>arsztacie uczestniczyło 20 osób.</w:t>
      </w:r>
      <w:r w:rsidRPr="00B72558">
        <w:rPr>
          <w:rFonts w:ascii="Arial" w:hAnsi="Arial" w:cs="Arial"/>
          <w:sz w:val="24"/>
          <w:szCs w:val="24"/>
        </w:rPr>
        <w:t xml:space="preserve"> Na warsztat zostały zaproszone osoby, które wniosły uwagi do Budżetu Obywatelskiego. 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72558" w:rsidRPr="00B72558" w:rsidTr="00255AF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keepNext/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CB98A2" wp14:editId="03AB310F">
                  <wp:extent cx="2595241" cy="1729740"/>
                  <wp:effectExtent l="0" t="0" r="0" b="3810"/>
                  <wp:docPr id="6" name="Obraz 6" descr="C:\Users\Researchdesign\Desktop\Odzysk\1 exFAT\DCIM\105MSDCF\DSC08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esearchdesign\Desktop\Odzysk\1 exFAT\DCIM\105MSDCF\DSC08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883" cy="173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86F" w:rsidRPr="00B72558" w:rsidRDefault="00FE3B63" w:rsidP="008F5D18">
            <w:pPr>
              <w:pStyle w:val="Legenda"/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Zdjęcie</w:t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fldChar w:fldCharType="begin"/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SEQ Rysunek \* ARABIC </w:instrText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="0015686F" w:rsidRPr="00B72558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1</w:t>
            </w:r>
            <w:r w:rsidR="0015686F" w:rsidRPr="00B72558">
              <w:rPr>
                <w:rFonts w:ascii="Arial" w:hAnsi="Arial" w:cs="Arial"/>
                <w:noProof/>
                <w:color w:val="auto"/>
                <w:sz w:val="24"/>
                <w:szCs w:val="24"/>
              </w:rPr>
              <w:fldChar w:fldCharType="end"/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t xml:space="preserve">.Praca nad „giełdą problemów”.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FE3B63">
            <w:pPr>
              <w:keepNext/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85B463" wp14:editId="79660CAF">
                  <wp:extent cx="2606040" cy="1736938"/>
                  <wp:effectExtent l="0" t="0" r="3810" b="0"/>
                  <wp:docPr id="7" name="Obraz 7" descr="C:\Users\Researchdesign\Desktop\Odzysk\1 exFAT\DCIM\105MSDCF\DSC08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searchdesign\Desktop\Odzysk\1 exFAT\DCIM\105MSDCF\DSC08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38" cy="173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86F" w:rsidRPr="00B72558" w:rsidRDefault="00FE3B63" w:rsidP="00FE3B63">
            <w:pPr>
              <w:pStyle w:val="Legenda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Zdjęcie</w:t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fldChar w:fldCharType="begin"/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SEQ Rysunek \* ARABIC </w:instrText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="0015686F" w:rsidRPr="00B72558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2</w:t>
            </w:r>
            <w:r w:rsidR="0015686F" w:rsidRPr="00B72558">
              <w:rPr>
                <w:rFonts w:ascii="Arial" w:hAnsi="Arial" w:cs="Arial"/>
                <w:noProof/>
                <w:color w:val="auto"/>
                <w:sz w:val="24"/>
                <w:szCs w:val="24"/>
              </w:rPr>
              <w:fldChar w:fldCharType="end"/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t xml:space="preserve">. Praca nad szukaniem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</w:t>
            </w:r>
            <w:r w:rsidR="0015686F" w:rsidRPr="00B72558">
              <w:rPr>
                <w:rFonts w:ascii="Arial" w:hAnsi="Arial" w:cs="Arial"/>
                <w:color w:val="auto"/>
                <w:sz w:val="24"/>
                <w:szCs w:val="24"/>
              </w:rPr>
              <w:t>rozwiązań do problemów.</w:t>
            </w:r>
          </w:p>
        </w:tc>
      </w:tr>
      <w:tr w:rsidR="00FE3B63" w:rsidRPr="00B72558" w:rsidTr="00255AF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63" w:rsidRPr="00B72558" w:rsidRDefault="00FE3B63" w:rsidP="008F5D18">
            <w:pPr>
              <w:keepNext/>
              <w:widowControl w:val="0"/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63" w:rsidRPr="00B72558" w:rsidRDefault="00FE3B63" w:rsidP="00FE3B63">
            <w:pPr>
              <w:keepNext/>
              <w:widowControl w:val="0"/>
              <w:spacing w:after="0" w:line="36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hAnsi="Arial" w:cs="Arial"/>
          <w:b/>
          <w:sz w:val="24"/>
          <w:szCs w:val="24"/>
        </w:rPr>
        <w:t>Etapy warsztatu</w:t>
      </w:r>
      <w:r w:rsidRPr="00B72558">
        <w:rPr>
          <w:rFonts w:ascii="Arial" w:hAnsi="Arial" w:cs="Arial"/>
          <w:sz w:val="24"/>
          <w:szCs w:val="24"/>
        </w:rPr>
        <w:t>: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1. Przedstawienie osób realizujących warsztat i zespołu BPS oraz celu warsztatu.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2. Wprowadzenie kontraktu jako propozycji zasad współpracy na warsztacie.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3. Mapowanie grup związanych z Budżetem Obywatelskim: kogo reprezentujemy, czy kogoś brakuje w BO, które grupy są w jakiś sposób najważniejsze z perspektywy ulepszania BO? Celem zadania jest próba zwrócenie uwagi na to, że BO dotyczy różnych grup społecznych/grup interesu. 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4. Omawianie problemów jakie widzimy w BO uwzględniając perspektywy różnych grup interesu. Celem zadania jest refleksja nad tym z jakimi problemami osoby stykają się na różnych etapach BO. 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5. Proponowanie nowych rozwiązań do wskazanych wcześniej problemów. Celem zadania jest szukanie wspólne rozwiązań do pojawiających się problemów na różnych etapach BO.  </w:t>
      </w:r>
    </w:p>
    <w:p w:rsidR="0015686F" w:rsidRPr="00B72558" w:rsidRDefault="0015686F" w:rsidP="008F5D18">
      <w:pPr>
        <w:keepNext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Uczestnicy warsztatu wskazywali różne grupy społeczne/interesu związane z Budżetem Obywatelskim. Pośród wymienionych grup byli:</w:t>
      </w:r>
    </w:p>
    <w:p w:rsidR="0015686F" w:rsidRPr="00B72558" w:rsidRDefault="0015686F" w:rsidP="008F5D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wnioskodawcy i wnioskodawczynie (organizacje np. Rady Dzielnic, NGO, spółdzielnie i osoby indywidualne),</w:t>
      </w:r>
    </w:p>
    <w:p w:rsidR="0015686F" w:rsidRPr="00B72558" w:rsidRDefault="0015686F" w:rsidP="008F5D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głosujący mieszkańcy i mieszkanki (w tym wyszczególniono grupę dzieci, studentów oraz seniorów),</w:t>
      </w:r>
    </w:p>
    <w:p w:rsidR="0015686F" w:rsidRPr="00B72558" w:rsidRDefault="0015686F" w:rsidP="008F5D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niegłosujący mieszkańcy i mieszkanki,</w:t>
      </w:r>
    </w:p>
    <w:p w:rsidR="0015686F" w:rsidRPr="00B72558" w:rsidRDefault="0015686F" w:rsidP="008F5D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lastRenderedPageBreak/>
        <w:t>urzędnicy i urzędniczki (w tym Biuro Partycypacji Społecznej, realizatorzy projektów).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686F" w:rsidRPr="00B72558" w:rsidRDefault="0015686F" w:rsidP="008F5D1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W kolejnym ćwiczeniu wskazywano problemy, jakie pojawiały się na poszczególnych etapach Budżetu Obywatelskiego. Odpowiedzi zostały pokategoryzowane. Dyskusje dotyczyły głównie zasad Budżetu Obywatelskiego (przede wszystkim etapu głosowania), mniej dyskutowano o kwocie jaką dysponuje BO. Dużo emocji było przy tematach związanych z projektami - inwestycyjne vs. </w:t>
      </w:r>
      <w:proofErr w:type="spellStart"/>
      <w:r w:rsidRPr="00B72558">
        <w:rPr>
          <w:rFonts w:ascii="Arial" w:hAnsi="Arial" w:cs="Arial"/>
          <w:sz w:val="24"/>
          <w:szCs w:val="24"/>
        </w:rPr>
        <w:t>nieinwestycyjne</w:t>
      </w:r>
      <w:proofErr w:type="spellEnd"/>
      <w:r w:rsidRPr="00B725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2558">
        <w:rPr>
          <w:rFonts w:ascii="Arial" w:hAnsi="Arial" w:cs="Arial"/>
          <w:sz w:val="24"/>
          <w:szCs w:val="24"/>
        </w:rPr>
        <w:t>Pojedyńcze</w:t>
      </w:r>
      <w:proofErr w:type="spellEnd"/>
      <w:r w:rsidRPr="00B72558">
        <w:rPr>
          <w:rFonts w:ascii="Arial" w:hAnsi="Arial" w:cs="Arial"/>
          <w:sz w:val="24"/>
          <w:szCs w:val="24"/>
        </w:rPr>
        <w:t xml:space="preserve"> głosy pojawiały się odnośnie celowości BO oraz zdiagnozowanych potrzeb/problemów mieszkańców. Mocno wybrzmiał temat związany z promocją, w szczególności z brakiem działań edukacyjnych np. wśród młodszych mieszkańców Lublina. 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73"/>
      </w:tblGrid>
      <w:tr w:rsidR="00B72558" w:rsidRPr="00B72558" w:rsidTr="00255AF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2558">
              <w:rPr>
                <w:rFonts w:ascii="Arial" w:hAnsi="Arial" w:cs="Arial"/>
                <w:b/>
                <w:sz w:val="24"/>
                <w:szCs w:val="24"/>
              </w:rPr>
              <w:t xml:space="preserve">Kategoria 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2558">
              <w:rPr>
                <w:rFonts w:ascii="Arial" w:hAnsi="Arial" w:cs="Arial"/>
                <w:b/>
                <w:sz w:val="24"/>
                <w:szCs w:val="24"/>
              </w:rPr>
              <w:t>Problemy</w:t>
            </w:r>
          </w:p>
        </w:tc>
      </w:tr>
      <w:tr w:rsidR="00B72558" w:rsidRPr="00B72558" w:rsidTr="00255AF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Kwestie techniczne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ochrona danych (brak możliwości sprawdzenia informacji czy ktoś już zagłosował i o bezpieczeństwie danych osobowych - wersja papierowa i elektroniczna),</w:t>
            </w:r>
          </w:p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udostępnienie danych w upoważnieniach podczas głosowania,</w:t>
            </w:r>
          </w:p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za duża biurokracja w procesie rejestracji do głosowania,</w:t>
            </w:r>
          </w:p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częste zmiany zasad głosowania jest przyczyną chaosu i braku wiedzy o BO przez mieszkańców, </w:t>
            </w:r>
          </w:p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ustalenie stałego harmonogramu np. stałych terminów zgłaszania projektów, głosowania, co pomaga w  promocji),</w:t>
            </w:r>
          </w:p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dostępu do formularza przed głosowaniem np. 2 tygodnie wcześniej,</w:t>
            </w:r>
          </w:p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powinien być taki sam termin głosowania internetowego  i papierowego,</w:t>
            </w:r>
          </w:p>
          <w:p w:rsidR="0015686F" w:rsidRPr="00B72558" w:rsidRDefault="0015686F" w:rsidP="008F5D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wykluczenie osób nieinternetowych (przede wszystkim osoby starsze) w dostępie do informacji i głosowaniu.</w:t>
            </w:r>
          </w:p>
        </w:tc>
      </w:tr>
      <w:tr w:rsidR="00B72558" w:rsidRPr="00B72558" w:rsidTr="00255AF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lastRenderedPageBreak/>
              <w:t>Kwestie formalne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powinna być możliwość oddawania głosów na większą liczbę projektów niż na 1 duży i 1 mały, 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przeznaczona za mała kwota na projekty gwarantowane, 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możliwości głosowania “przeciw” projektowi,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powinna się pojawić adnotacja o zgodzie na kontakt z autorem,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jest słabe opiniowanie, przechodzą “złe” projekty,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po co są opinie, skoro są one niezobowiązujące, 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co roku jest malejąca liczba wpływających projektów,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powinna być możliwość realizacji projektów na prywatnej ziemi/udostępniania nieruchomości przez osoby prywatne,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za niski próg wiekowy osób głosujących - “głosują niemowlaki”, zbyt niska granica wieku osób dopuszczonych do głosowania (ktoś decyduje za dzieci),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jest jednoznacznej definicji co to są projekty </w:t>
            </w:r>
            <w:proofErr w:type="spellStart"/>
            <w:r w:rsidRPr="00B72558">
              <w:rPr>
                <w:rFonts w:ascii="Arial" w:hAnsi="Arial" w:cs="Arial"/>
                <w:sz w:val="24"/>
                <w:szCs w:val="24"/>
              </w:rPr>
              <w:t>ogólnomiejskie</w:t>
            </w:r>
            <w:proofErr w:type="spellEnd"/>
            <w:r w:rsidRPr="00B72558">
              <w:rPr>
                <w:rFonts w:ascii="Arial" w:hAnsi="Arial" w:cs="Arial"/>
                <w:sz w:val="24"/>
                <w:szCs w:val="24"/>
              </w:rPr>
              <w:t>, a co to dzielnicowe,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jest nierówność między osobami zameldowanymi a zamieszkującymi podczas głosowania,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zawężenie głosujących  grup społecznych (studentów) poprzez ustalenie obecnych terminów, 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za mała kwota dla projektów gwarantowanych, </w:t>
            </w:r>
          </w:p>
          <w:p w:rsidR="0015686F" w:rsidRPr="00B72558" w:rsidRDefault="0015686F" w:rsidP="008F5D18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za długi czas głosowania. </w:t>
            </w:r>
          </w:p>
        </w:tc>
      </w:tr>
      <w:tr w:rsidR="00B72558" w:rsidRPr="00B72558" w:rsidTr="00255AF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Projekty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obecnie za dużo jest projektów inwestycyjnych, a za mało </w:t>
            </w:r>
            <w:proofErr w:type="spellStart"/>
            <w:r w:rsidRPr="00B72558">
              <w:rPr>
                <w:rFonts w:ascii="Arial" w:hAnsi="Arial" w:cs="Arial"/>
                <w:sz w:val="24"/>
                <w:szCs w:val="24"/>
              </w:rPr>
              <w:t>nieinwestycyjnych</w:t>
            </w:r>
            <w:proofErr w:type="spellEnd"/>
            <w:r w:rsidRPr="00B7255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włączenia projektów miękkich do dużych,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projekty </w:t>
            </w:r>
            <w:proofErr w:type="spellStart"/>
            <w:r w:rsidRPr="00B72558">
              <w:rPr>
                <w:rFonts w:ascii="Arial" w:hAnsi="Arial" w:cs="Arial"/>
                <w:sz w:val="24"/>
                <w:szCs w:val="24"/>
              </w:rPr>
              <w:t>nieinwestycyjne</w:t>
            </w:r>
            <w:proofErr w:type="spellEnd"/>
            <w:r w:rsidRPr="00B72558">
              <w:rPr>
                <w:rFonts w:ascii="Arial" w:hAnsi="Arial" w:cs="Arial"/>
                <w:sz w:val="24"/>
                <w:szCs w:val="24"/>
              </w:rPr>
              <w:t xml:space="preserve"> nie powinny być  BO, 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małe dzielnice nie mają szans z dużymi dzielnicami, 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pojawia się coraz mniej autorów projektów, przyczyną może być -zmiany w  regulaminie, mała aktywność społeczna, brak promocji BO i wygranych projektów, 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szans mają w głosowaniu projekty osób indywidualnych vs organizacje,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weryfikacji projektów wątpliwych,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informacji w projekcie o sposobach realizacji, harmonogramu wykonania,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bak rady ds. budżetu,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projektów inwestycyjnych wynika z trudności w realizacji innowacji, brak wsparcia w trakcie pisania takich wniosków, 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informacji o oszczędnościach na projektach - co się z nimi dzieje, </w:t>
            </w:r>
          </w:p>
          <w:p w:rsidR="0015686F" w:rsidRPr="00B72558" w:rsidRDefault="0015686F" w:rsidP="008F5D1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więcej konsultacji w trakcie pisania projektów różnych urzędów.</w:t>
            </w:r>
          </w:p>
        </w:tc>
      </w:tr>
      <w:tr w:rsidR="00B72558" w:rsidRPr="00B72558" w:rsidTr="00255AF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Promocja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niskie poczucie świadomości mieszkańców dotyczącym BO, 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słaba, za mała promocja przede wszystkim wśród uczniów, studentów i seniorów, 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za mały monitoring społeczny realizacji zakwalifikowanych projektów, brak informacji o realizacji BO,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mała frekwencja,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większe angażowanie dzieci, co przyczyni się do kreowania postaw obywatelskich, 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zorganizowanych spotkań z autorami projektów, 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jest nieuczciwa promocja, bo małe organizacje nie stać na bilbordy, 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osoby “nieinternetowe” nie mają informacji o BO, 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promocji idei BO,</w:t>
            </w:r>
          </w:p>
          <w:p w:rsidR="0015686F" w:rsidRPr="00B72558" w:rsidRDefault="0015686F" w:rsidP="008F5D18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brakuje sieci promującej BO.</w:t>
            </w:r>
          </w:p>
        </w:tc>
      </w:tr>
      <w:tr w:rsidR="00B72558" w:rsidRPr="00B72558" w:rsidTr="00255AF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Cel BO</w:t>
            </w:r>
          </w:p>
          <w:p w:rsidR="0015686F" w:rsidRPr="00B72558" w:rsidRDefault="0015686F" w:rsidP="008F5D1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we wniosku powinien być cel wynikający z diagnozy potrzeb, </w:t>
            </w:r>
          </w:p>
          <w:p w:rsidR="0015686F" w:rsidRPr="00B72558" w:rsidRDefault="0015686F" w:rsidP="008F5D18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ukierunkowanie na cel projektu, problem jaki ma być rozwiązany.</w:t>
            </w:r>
          </w:p>
        </w:tc>
      </w:tr>
    </w:tbl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W kolejnych zadaniach uczestnicy warsztatu proponowali rozwiązania do wybranych wcześniej wskazanych problemów. Celem zadania jest szukanie wspólne rozwiązań do pojawiających się problemów na różnych etapach BO.  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Najczęściej pojawiał się problem promocji oraz etapu głosowania. Do tych etapów Budżetu Obywatelskiego wypracowano najwięcej proponowanych rozwiązań. </w:t>
      </w: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 </w:t>
      </w: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2850"/>
        <w:gridCol w:w="4905"/>
      </w:tblGrid>
      <w:tr w:rsidR="00B72558" w:rsidRPr="00B72558" w:rsidTr="00255AFF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2558">
              <w:rPr>
                <w:rFonts w:ascii="Arial" w:hAnsi="Arial" w:cs="Arial"/>
                <w:b/>
                <w:sz w:val="24"/>
                <w:szCs w:val="24"/>
              </w:rPr>
              <w:t>Działanie BO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2558">
              <w:rPr>
                <w:rFonts w:ascii="Arial" w:hAnsi="Arial" w:cs="Arial"/>
                <w:b/>
                <w:sz w:val="24"/>
                <w:szCs w:val="24"/>
              </w:rPr>
              <w:t>Problem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2558">
              <w:rPr>
                <w:rFonts w:ascii="Arial" w:hAnsi="Arial" w:cs="Arial"/>
                <w:b/>
                <w:sz w:val="24"/>
                <w:szCs w:val="24"/>
              </w:rPr>
              <w:t xml:space="preserve">Propozycje </w:t>
            </w:r>
          </w:p>
        </w:tc>
      </w:tr>
      <w:tr w:rsidR="00B72558" w:rsidRPr="00B72558" w:rsidTr="00255AFF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Głosowanie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system rejestracji i głosowania jest skomplikowany dla osób nie zameldowanych, a mieszkających w Lublinie,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termin utrudniający głosowanie studentom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są sytuacje, gdzie głosują osoby nieuprawnione,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za niski wiek głosujących, </w:t>
            </w:r>
          </w:p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uproszczenie zasad dla osób niezameldowanych, a mieszkających w Lublinie np. rejestracja on-</w:t>
            </w:r>
            <w:proofErr w:type="spellStart"/>
            <w:r w:rsidRPr="00B72558">
              <w:rPr>
                <w:rFonts w:ascii="Arial" w:hAnsi="Arial" w:cs="Arial"/>
                <w:sz w:val="24"/>
                <w:szCs w:val="24"/>
              </w:rPr>
              <w:t>line</w:t>
            </w:r>
            <w:proofErr w:type="spellEnd"/>
            <w:r w:rsidRPr="00B72558">
              <w:rPr>
                <w:rFonts w:ascii="Arial" w:hAnsi="Arial" w:cs="Arial"/>
                <w:sz w:val="24"/>
                <w:szCs w:val="24"/>
              </w:rPr>
              <w:t xml:space="preserve"> poprzez podanie adresu i zaświadczenie o zamieszkaniu w Lublinie,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rezygnacja z rejestracji,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podanie adresu zamieszkania i wyrywkowa weryfikacja,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powiązanie głosujących na BO z listą wyborców,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konieczności podawania PESEL,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zmiana terminu głosowania do połowy października 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termin głosowania przez 10 dni (w tym 2 niedziele),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ograniczenie głosowania przy 1 komputerze np. 10 głosów,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punkt głosowania na każdej dzielnicy do głosowania papierowego,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uprawnione osoby do głosowania od 16 roku życia.</w:t>
            </w:r>
          </w:p>
        </w:tc>
      </w:tr>
      <w:tr w:rsidR="00B72558" w:rsidRPr="00B72558" w:rsidTr="00255AFF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Promocja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mała frekwencja,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promocji zasad głosowania oraz projektów,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promocji efektów BO,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niski poziom wiedzy o BO,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większe środki na promocję np. 5% BO,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promocja poprzez wymieszanie informacji o BO np. bilbordy, tablice ogłoszeń/gabloty, MPK i przystanki,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zwiększenie aktywności w mediach,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organizacja konferencji,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przesłanie informacji o Klubów Seniora,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zawieszanie tablic, że wykonano ze środków BO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przekazywane informacje powinny zawierać opisane zasady i terminy,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monitoring wybranych projektów,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prezentacja sukcesów BO,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stała sieć partnerów promujących BO,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spotkania informacyjne z uczniami i studentami,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warsztaty - wersja demo BO dla uczniów,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 wewnątrzszkolny BO (dyrektor przekazuje budżet do dyspozycji uczniów),</w:t>
            </w:r>
          </w:p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58" w:rsidRPr="00B72558" w:rsidTr="00255AFF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Zgłaszanie projektów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możliwości zgłaszania projektu </w:t>
            </w:r>
            <w:proofErr w:type="spellStart"/>
            <w:r w:rsidRPr="00B72558">
              <w:rPr>
                <w:rFonts w:ascii="Arial" w:hAnsi="Arial" w:cs="Arial"/>
                <w:sz w:val="24"/>
                <w:szCs w:val="24"/>
              </w:rPr>
              <w:t>nieinwestycyjnego</w:t>
            </w:r>
            <w:proofErr w:type="spellEnd"/>
            <w:r w:rsidRPr="00B72558">
              <w:rPr>
                <w:rFonts w:ascii="Arial" w:hAnsi="Arial" w:cs="Arial"/>
                <w:sz w:val="24"/>
                <w:szCs w:val="24"/>
              </w:rPr>
              <w:t xml:space="preserve"> jako dużego,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w BO powinny być tylko projekty inwestycyjne,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wsparcia ekspertów na etapie pisania wniosków, </w:t>
            </w:r>
          </w:p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zniesienie ograniczenia dla projektów “miękkich”,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zniesienie ograniczenia, że projekty mogą być realizowane tylko na terenach i obiektach Gminy,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ograniczenie kwoty na projekty </w:t>
            </w:r>
            <w:proofErr w:type="spellStart"/>
            <w:r w:rsidRPr="00B72558">
              <w:rPr>
                <w:rFonts w:ascii="Arial" w:hAnsi="Arial" w:cs="Arial"/>
                <w:sz w:val="24"/>
                <w:szCs w:val="24"/>
              </w:rPr>
              <w:t>nieinwestycyjne</w:t>
            </w:r>
            <w:proofErr w:type="spellEnd"/>
            <w:r w:rsidRPr="00B72558">
              <w:rPr>
                <w:rFonts w:ascii="Arial" w:hAnsi="Arial" w:cs="Arial"/>
                <w:sz w:val="24"/>
                <w:szCs w:val="24"/>
              </w:rPr>
              <w:t xml:space="preserve"> do 10% kwoty BO np. 1 500 000 zł,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powołanie stałego panelu ekspertów, wsparcie innowacyjnych działań,</w:t>
            </w:r>
          </w:p>
        </w:tc>
      </w:tr>
      <w:tr w:rsidR="00B72558" w:rsidRPr="00B72558" w:rsidTr="00255AFF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Regulamin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brak stałego harmonogramu poszczególnych etapów (np. składania wniosków, głosowania),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brak harmonogramu realizacji projektów,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6F" w:rsidRPr="00B72558" w:rsidRDefault="0015686F" w:rsidP="008F5D18">
            <w:pPr>
              <w:widowControl w:val="0"/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stały harmonogram w regulaminie,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ustalenie stałych zasad,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>stały harmonogram realizacji prac związanych z projektem,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podawanie harmonogramu na etapie głosowania, </w:t>
            </w:r>
          </w:p>
          <w:p w:rsidR="0015686F" w:rsidRPr="00B72558" w:rsidRDefault="0015686F" w:rsidP="008F5D18">
            <w:pPr>
              <w:widowControl w:val="0"/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58">
              <w:rPr>
                <w:rFonts w:ascii="Arial" w:hAnsi="Arial" w:cs="Arial"/>
                <w:sz w:val="24"/>
                <w:szCs w:val="24"/>
              </w:rPr>
              <w:t xml:space="preserve">stały wzór formularzy. </w:t>
            </w:r>
          </w:p>
        </w:tc>
      </w:tr>
    </w:tbl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686F" w:rsidRPr="00B72558" w:rsidRDefault="0015686F" w:rsidP="008F5D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2558" w:rsidRDefault="00F359D8" w:rsidP="008F5D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72558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="000F43A3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3A3"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B032C7"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twart</w:t>
      </w:r>
      <w:r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B032C7"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spotka</w:t>
      </w:r>
      <w:r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>nia z Mieszkańcami i Mieszkankami</w:t>
      </w:r>
      <w:r w:rsidR="00B032C7" w:rsidRPr="00B725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>odb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>yły s</w:t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>ię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w dwóch terminach</w:t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>: 11 grudnia 2017 r.</w:t>
      </w:r>
      <w:r w:rsidR="008E59DC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i 11 stycznia 2018 r.</w:t>
      </w:r>
      <w:r w:rsidR="00B032C7" w:rsidRPr="00B72558">
        <w:rPr>
          <w:rFonts w:ascii="Arial" w:eastAsia="Times New Roman" w:hAnsi="Arial" w:cs="Arial"/>
          <w:sz w:val="24"/>
          <w:szCs w:val="24"/>
          <w:lang w:eastAsia="pl-PL"/>
        </w:rPr>
        <w:t>, o godzinie 17:00, w sali 104, Biuro Partycypacji Społeczn</w:t>
      </w:r>
      <w:r w:rsidR="008E59DC" w:rsidRPr="00B72558">
        <w:rPr>
          <w:rFonts w:ascii="Arial" w:eastAsia="Times New Roman" w:hAnsi="Arial" w:cs="Arial"/>
          <w:sz w:val="24"/>
          <w:szCs w:val="24"/>
          <w:lang w:eastAsia="pl-PL"/>
        </w:rPr>
        <w:t>ej, ul. Bernardyńska 3, Lublin.</w:t>
      </w:r>
    </w:p>
    <w:p w:rsidR="008E59DC" w:rsidRPr="00B72558" w:rsidRDefault="007839C2" w:rsidP="008F5D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>Na spotkaniu 11 grudnia 2017</w:t>
      </w:r>
      <w:r w:rsidR="00FE3B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81714D" w:rsidRPr="00B72558">
        <w:rPr>
          <w:rFonts w:ascii="Arial" w:eastAsia="Times New Roman" w:hAnsi="Arial" w:cs="Arial"/>
          <w:sz w:val="24"/>
          <w:szCs w:val="24"/>
          <w:lang w:eastAsia="pl-PL"/>
        </w:rPr>
        <w:t>, w którym uczestniczyło 15 osób,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omawiano regulamin Budżetu Obywatelskiego</w:t>
      </w:r>
      <w:r w:rsidR="000F43A3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na 2018 rok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94364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Punktem wyjścia do dyskusji były </w:t>
      </w:r>
      <w:r w:rsidR="000F43A3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zmiany, które zostały wprowadzone rok wcześniej. </w:t>
      </w:r>
      <w:r w:rsidR="005705E3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Stanowiły one bowiem </w:t>
      </w:r>
      <w:r w:rsidR="00C324C6" w:rsidRPr="00B72558">
        <w:rPr>
          <w:rFonts w:ascii="Arial" w:eastAsia="Times New Roman" w:hAnsi="Arial" w:cs="Arial"/>
          <w:sz w:val="24"/>
          <w:szCs w:val="24"/>
          <w:lang w:eastAsia="pl-PL"/>
        </w:rPr>
        <w:t>największą „rewolucję” od cza</w:t>
      </w:r>
      <w:r w:rsidR="00CB0E12" w:rsidRPr="00B7255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324C6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CB0E12" w:rsidRPr="00B72558">
        <w:rPr>
          <w:rFonts w:ascii="Arial" w:eastAsia="Times New Roman" w:hAnsi="Arial" w:cs="Arial"/>
          <w:sz w:val="24"/>
          <w:szCs w:val="24"/>
          <w:lang w:eastAsia="pl-PL"/>
        </w:rPr>
        <w:t>uruchomienia</w:t>
      </w:r>
      <w:r w:rsidR="00C324C6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Budżetu Oby</w:t>
      </w:r>
      <w:r w:rsidR="00CB0E12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watelskiego w Lublinie w 2014 roku. </w:t>
      </w:r>
      <w:r w:rsidR="00B6700D" w:rsidRPr="00B72558">
        <w:rPr>
          <w:rFonts w:ascii="Arial" w:eastAsia="Times New Roman" w:hAnsi="Arial" w:cs="Arial"/>
          <w:sz w:val="24"/>
          <w:szCs w:val="24"/>
          <w:lang w:eastAsia="pl-PL"/>
        </w:rPr>
        <w:t>Omówiono po kolej: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Zmianę wartości projektów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81714D" w:rsidRPr="0081714D" w:rsidRDefault="0081714D" w:rsidP="008F5D18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>Projekt mały: 25 000 zł – 300 000 zł</w:t>
      </w:r>
    </w:p>
    <w:p w:rsidR="0081714D" w:rsidRPr="0081714D" w:rsidRDefault="0081714D" w:rsidP="008F5D18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>Projekt duży: 300 001 zł – 1 200 000 zł.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Podział kwoty 15 mln zł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pomiędzy projekty duże i małe. </w:t>
      </w:r>
    </w:p>
    <w:p w:rsidR="0081714D" w:rsidRPr="0081714D" w:rsidRDefault="0081714D" w:rsidP="008F5D18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>Projekty małe: 9 000 000 zł;</w:t>
      </w:r>
    </w:p>
    <w:p w:rsidR="0081714D" w:rsidRPr="0081714D" w:rsidRDefault="0081714D" w:rsidP="008F5D18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>Projekty duże: 6 000 000 zł.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Zagwarantowanie kwoty </w:t>
      </w: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150 000 zł dla każdej z dzielnic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>, na jeden, poddany pod głosowanie projekt, o ile na jej terenie w wyniku głosowania nie będzie realizowany żaden projekt inwestycyjny.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Projekty duże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mogą być tylko i </w:t>
      </w: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wyłącznie projektami infrastrukturalnymi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czyli dotyczącymi inwestycji miejskich takich jak m.in. budowy, remonty czy przebudowy infrastruktury.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Głosowanie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w formie papierowej 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>tylko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osobiście w Urzędzie Miasta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>Głosować mog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>li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wszyscy mieszkańcy Lublina,</w:t>
      </w: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niezależnie od wieku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>. Osoby niepełnoletnie będą głosowały oraz składały projekty za zgodą opiekunów prawnych.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Autorzy i autorki projektów mają 7 dni od daty opublikowania wyników oceny formalnej na złożenie </w:t>
      </w: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formalnego odwołania 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>od nich.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Składanie projektów rozpocznie się 28 kwietnia 2017 r.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o godzinie 7:30 i potrwa do 31 maja 2017 r. do godziny 20:00.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Termin głosowania 23 września 2017 r. 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> 10 paździ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>ernika</w:t>
      </w:r>
      <w:r w:rsidR="00FE3B63">
        <w:rPr>
          <w:rFonts w:ascii="Arial" w:eastAsia="Times New Roman" w:hAnsi="Arial" w:cs="Arial"/>
          <w:sz w:val="24"/>
          <w:szCs w:val="24"/>
          <w:lang w:eastAsia="pl-PL"/>
        </w:rPr>
        <w:t xml:space="preserve"> 2017 r.</w:t>
      </w:r>
    </w:p>
    <w:p w:rsidR="0081714D" w:rsidRPr="0081714D" w:rsidRDefault="0081714D" w:rsidP="008F5D1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714D">
        <w:rPr>
          <w:rFonts w:ascii="Arial" w:eastAsia="Times New Roman" w:hAnsi="Arial" w:cs="Arial"/>
          <w:sz w:val="24"/>
          <w:szCs w:val="24"/>
          <w:lang w:eastAsia="pl-PL"/>
        </w:rPr>
        <w:t>Głosować można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było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B72558">
        <w:rPr>
          <w:rFonts w:ascii="Arial" w:eastAsia="Times New Roman" w:hAnsi="Arial" w:cs="Arial"/>
          <w:bCs/>
          <w:sz w:val="24"/>
          <w:szCs w:val="24"/>
          <w:lang w:eastAsia="pl-PL"/>
        </w:rPr>
        <w:t>jeden projekt mały i jeden projekt duży</w:t>
      </w:r>
      <w:r w:rsidRPr="008171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1714D" w:rsidRPr="00B72558" w:rsidRDefault="0081714D" w:rsidP="008F5D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6700D" w:rsidRPr="00B72558">
        <w:rPr>
          <w:rFonts w:ascii="Arial" w:eastAsia="Times New Roman" w:hAnsi="Arial" w:cs="Arial"/>
          <w:sz w:val="24"/>
          <w:szCs w:val="24"/>
          <w:lang w:eastAsia="pl-PL"/>
        </w:rPr>
        <w:t>potkani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e, które odbyło się </w:t>
      </w:r>
      <w:r w:rsidR="00B6700D"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11 stycznia 2018 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składało się z 2 etapów. W I części </w:t>
      </w:r>
      <w:r w:rsidR="00B6700D" w:rsidRPr="00B72558">
        <w:rPr>
          <w:rFonts w:ascii="Arial" w:eastAsia="Times New Roman" w:hAnsi="Arial" w:cs="Arial"/>
          <w:sz w:val="24"/>
          <w:szCs w:val="24"/>
          <w:lang w:eastAsia="pl-PL"/>
        </w:rPr>
        <w:t>omówiono wyniki ewaluacji Budżetu Obywatelskiego, przeprowadzonej przez Lubelską Grupę Badawczą/Fundację Teren Otwarty.</w:t>
      </w: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 Ewaluacja stanowi załącznik do raportu. </w:t>
      </w:r>
    </w:p>
    <w:p w:rsidR="0081714D" w:rsidRPr="00B72558" w:rsidRDefault="0081714D" w:rsidP="008F5D18">
      <w:pPr>
        <w:pStyle w:val="Tyt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 xml:space="preserve">W części II przestawiono propozycję  </w:t>
      </w:r>
      <w:r w:rsidRPr="00B72558">
        <w:rPr>
          <w:rFonts w:ascii="Arial" w:hAnsi="Arial" w:cs="Arial"/>
          <w:sz w:val="24"/>
          <w:szCs w:val="24"/>
        </w:rPr>
        <w:t>modyfikacji</w:t>
      </w:r>
      <w:r w:rsidRPr="00B72558">
        <w:rPr>
          <w:rFonts w:ascii="Arial" w:hAnsi="Arial" w:cs="Arial"/>
          <w:b/>
          <w:sz w:val="24"/>
          <w:szCs w:val="24"/>
        </w:rPr>
        <w:t xml:space="preserve"> </w:t>
      </w:r>
      <w:r w:rsidRPr="00B72558">
        <w:rPr>
          <w:rFonts w:ascii="Arial" w:hAnsi="Arial" w:cs="Arial"/>
          <w:sz w:val="24"/>
          <w:szCs w:val="24"/>
        </w:rPr>
        <w:t>zasad V edycji BO</w:t>
      </w:r>
      <w:r w:rsidR="00BC29AD" w:rsidRPr="00B72558">
        <w:rPr>
          <w:rFonts w:ascii="Arial" w:hAnsi="Arial" w:cs="Arial"/>
          <w:sz w:val="24"/>
          <w:szCs w:val="24"/>
        </w:rPr>
        <w:t>:</w:t>
      </w:r>
    </w:p>
    <w:p w:rsidR="0081714D" w:rsidRPr="00B72558" w:rsidRDefault="0081714D" w:rsidP="008F5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14D" w:rsidRPr="00B72558" w:rsidRDefault="0081714D" w:rsidP="008F5D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hAnsi="Arial" w:cs="Arial"/>
          <w:b/>
          <w:sz w:val="24"/>
          <w:szCs w:val="24"/>
        </w:rPr>
        <w:t>Składanie projektów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-</w:t>
      </w:r>
      <w:r w:rsidR="00FE3B63">
        <w:rPr>
          <w:rFonts w:ascii="Arial" w:hAnsi="Arial" w:cs="Arial"/>
          <w:sz w:val="24"/>
          <w:szCs w:val="24"/>
        </w:rPr>
        <w:t xml:space="preserve"> </w:t>
      </w:r>
      <w:r w:rsidRPr="00B72558">
        <w:rPr>
          <w:rFonts w:ascii="Arial" w:hAnsi="Arial" w:cs="Arial"/>
          <w:sz w:val="24"/>
          <w:szCs w:val="24"/>
        </w:rPr>
        <w:t>15 marca –15 kwietnia</w:t>
      </w:r>
      <w:r w:rsidR="00FE3B63">
        <w:rPr>
          <w:rFonts w:ascii="Arial" w:hAnsi="Arial" w:cs="Arial"/>
          <w:sz w:val="24"/>
          <w:szCs w:val="24"/>
        </w:rPr>
        <w:t>;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-</w:t>
      </w:r>
      <w:r w:rsidR="00FE3B63">
        <w:rPr>
          <w:rFonts w:ascii="Arial" w:hAnsi="Arial" w:cs="Arial"/>
          <w:sz w:val="24"/>
          <w:szCs w:val="24"/>
        </w:rPr>
        <w:t xml:space="preserve"> w</w:t>
      </w:r>
      <w:r w:rsidRPr="00B72558">
        <w:rPr>
          <w:rFonts w:ascii="Arial" w:hAnsi="Arial" w:cs="Arial"/>
          <w:sz w:val="24"/>
          <w:szCs w:val="24"/>
        </w:rPr>
        <w:t xml:space="preserve"> systemie elektronicznym, bez konieczności składania wersji papierowej</w:t>
      </w:r>
      <w:r w:rsidR="00FE3B63">
        <w:rPr>
          <w:rFonts w:ascii="Arial" w:hAnsi="Arial" w:cs="Arial"/>
          <w:sz w:val="24"/>
          <w:szCs w:val="24"/>
        </w:rPr>
        <w:t>;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-</w:t>
      </w:r>
      <w:r w:rsidR="00FE3B63">
        <w:rPr>
          <w:rFonts w:ascii="Arial" w:hAnsi="Arial" w:cs="Arial"/>
          <w:sz w:val="24"/>
          <w:szCs w:val="24"/>
        </w:rPr>
        <w:t xml:space="preserve"> </w:t>
      </w:r>
      <w:r w:rsidR="00356F54">
        <w:rPr>
          <w:rFonts w:ascii="Arial" w:hAnsi="Arial" w:cs="Arial"/>
          <w:sz w:val="24"/>
          <w:szCs w:val="24"/>
        </w:rPr>
        <w:t xml:space="preserve">w przypadku, jeżeli ktoś nie ma dostępu do komputera, będzie </w:t>
      </w:r>
      <w:r w:rsidR="00FE3B63">
        <w:rPr>
          <w:rFonts w:ascii="Arial" w:hAnsi="Arial" w:cs="Arial"/>
          <w:sz w:val="24"/>
          <w:szCs w:val="24"/>
        </w:rPr>
        <w:t>m</w:t>
      </w:r>
      <w:r w:rsidR="00356F54">
        <w:rPr>
          <w:rFonts w:ascii="Arial" w:hAnsi="Arial" w:cs="Arial"/>
          <w:sz w:val="24"/>
          <w:szCs w:val="24"/>
        </w:rPr>
        <w:t>ógł/mogła</w:t>
      </w:r>
      <w:r w:rsidRPr="00B72558">
        <w:rPr>
          <w:rFonts w:ascii="Arial" w:hAnsi="Arial" w:cs="Arial"/>
          <w:sz w:val="24"/>
          <w:szCs w:val="24"/>
        </w:rPr>
        <w:t xml:space="preserve"> </w:t>
      </w:r>
      <w:r w:rsidR="00FE3B63">
        <w:rPr>
          <w:rFonts w:ascii="Arial" w:hAnsi="Arial" w:cs="Arial"/>
          <w:sz w:val="24"/>
          <w:szCs w:val="24"/>
        </w:rPr>
        <w:t xml:space="preserve">złożyć tylko wersję </w:t>
      </w:r>
      <w:r w:rsidR="00356F54">
        <w:rPr>
          <w:rFonts w:ascii="Arial" w:hAnsi="Arial" w:cs="Arial"/>
          <w:sz w:val="24"/>
          <w:szCs w:val="24"/>
        </w:rPr>
        <w:t>papierową</w:t>
      </w:r>
      <w:bookmarkStart w:id="0" w:name="_GoBack"/>
      <w:bookmarkEnd w:id="0"/>
      <w:r w:rsidR="00FE3B63">
        <w:rPr>
          <w:rFonts w:ascii="Arial" w:hAnsi="Arial" w:cs="Arial"/>
          <w:sz w:val="24"/>
          <w:szCs w:val="24"/>
        </w:rPr>
        <w:t>;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FE3B63">
        <w:rPr>
          <w:rFonts w:ascii="Arial" w:hAnsi="Arial" w:cs="Arial"/>
          <w:sz w:val="24"/>
          <w:szCs w:val="24"/>
        </w:rPr>
        <w:t>w</w:t>
      </w:r>
      <w:r w:rsidRPr="00B72558">
        <w:rPr>
          <w:rFonts w:ascii="Arial" w:hAnsi="Arial" w:cs="Arial"/>
          <w:sz w:val="24"/>
          <w:szCs w:val="24"/>
        </w:rPr>
        <w:t xml:space="preserve"> przypadku projektów zlokalizowanych na terenie zarządzanym przez szkołę/instytucję/organizację, do wniosku dołączamy pisemną zgodę zarządcy terenu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14D" w:rsidRPr="00B72558" w:rsidRDefault="0081714D" w:rsidP="008F5D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hAnsi="Arial" w:cs="Arial"/>
          <w:b/>
          <w:sz w:val="24"/>
          <w:szCs w:val="24"/>
        </w:rPr>
        <w:t>Ocena</w:t>
      </w:r>
      <w:r w:rsidR="00FE3B63">
        <w:rPr>
          <w:rFonts w:ascii="Arial" w:hAnsi="Arial" w:cs="Arial"/>
          <w:b/>
          <w:sz w:val="24"/>
          <w:szCs w:val="24"/>
        </w:rPr>
        <w:t xml:space="preserve"> projektów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FE3B63">
        <w:rPr>
          <w:rFonts w:ascii="Arial" w:hAnsi="Arial" w:cs="Arial"/>
          <w:sz w:val="24"/>
          <w:szCs w:val="24"/>
        </w:rPr>
        <w:t>d</w:t>
      </w:r>
      <w:r w:rsidRPr="00B72558">
        <w:rPr>
          <w:rFonts w:ascii="Arial" w:hAnsi="Arial" w:cs="Arial"/>
          <w:sz w:val="24"/>
          <w:szCs w:val="24"/>
        </w:rPr>
        <w:t>o końca maja</w:t>
      </w:r>
      <w:r w:rsidR="00FE3B63">
        <w:rPr>
          <w:rFonts w:ascii="Arial" w:hAnsi="Arial" w:cs="Arial"/>
          <w:sz w:val="24"/>
          <w:szCs w:val="24"/>
        </w:rPr>
        <w:t>;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>-</w:t>
      </w:r>
      <w:r w:rsidR="00BC29AD" w:rsidRPr="00B72558">
        <w:rPr>
          <w:rFonts w:ascii="Arial" w:hAnsi="Arial" w:cs="Arial"/>
          <w:sz w:val="24"/>
          <w:szCs w:val="24"/>
        </w:rPr>
        <w:t xml:space="preserve"> </w:t>
      </w:r>
      <w:r w:rsidR="00FE3B63">
        <w:rPr>
          <w:rFonts w:ascii="Arial" w:hAnsi="Arial" w:cs="Arial"/>
          <w:sz w:val="24"/>
          <w:szCs w:val="24"/>
        </w:rPr>
        <w:t>R</w:t>
      </w:r>
      <w:r w:rsidRPr="00B72558">
        <w:rPr>
          <w:rFonts w:ascii="Arial" w:hAnsi="Arial" w:cs="Arial"/>
          <w:sz w:val="24"/>
          <w:szCs w:val="24"/>
        </w:rPr>
        <w:t>ady Dzielnic będą poproszone o przesłanie swoich uwag do projektów odnoszących się do ich dzielnicy do 15</w:t>
      </w:r>
      <w:r w:rsidR="00FE3B63">
        <w:rPr>
          <w:rFonts w:ascii="Arial" w:hAnsi="Arial" w:cs="Arial"/>
          <w:sz w:val="24"/>
          <w:szCs w:val="24"/>
        </w:rPr>
        <w:t xml:space="preserve"> </w:t>
      </w:r>
      <w:r w:rsidRPr="00B72558">
        <w:rPr>
          <w:rFonts w:ascii="Arial" w:hAnsi="Arial" w:cs="Arial"/>
          <w:sz w:val="24"/>
          <w:szCs w:val="24"/>
        </w:rPr>
        <w:t>maja – dzięki temu Zespół ds. Budżetu Obywatelskiego będzie mógł wziąć je pod uwagę</w:t>
      </w:r>
      <w:r w:rsidR="00BC29AD" w:rsidRPr="00B72558">
        <w:rPr>
          <w:rFonts w:ascii="Arial" w:hAnsi="Arial" w:cs="Arial"/>
          <w:sz w:val="24"/>
          <w:szCs w:val="24"/>
        </w:rPr>
        <w:t>.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14D" w:rsidRPr="00B72558" w:rsidRDefault="0081714D" w:rsidP="008F5D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558">
        <w:rPr>
          <w:rFonts w:ascii="Arial" w:hAnsi="Arial" w:cs="Arial"/>
          <w:b/>
          <w:sz w:val="24"/>
          <w:szCs w:val="24"/>
        </w:rPr>
        <w:t>Głosowanie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BC29AD" w:rsidRPr="00B72558">
        <w:rPr>
          <w:rFonts w:ascii="Arial" w:hAnsi="Arial" w:cs="Arial"/>
          <w:sz w:val="24"/>
          <w:szCs w:val="24"/>
        </w:rPr>
        <w:t xml:space="preserve">termin: </w:t>
      </w:r>
      <w:r w:rsidRPr="00B72558">
        <w:rPr>
          <w:rFonts w:ascii="Arial" w:hAnsi="Arial" w:cs="Arial"/>
          <w:sz w:val="24"/>
          <w:szCs w:val="24"/>
        </w:rPr>
        <w:t>23 września – 10 października</w:t>
      </w:r>
      <w:r w:rsidR="00FE3B63">
        <w:rPr>
          <w:rFonts w:ascii="Arial" w:hAnsi="Arial" w:cs="Arial"/>
          <w:sz w:val="24"/>
          <w:szCs w:val="24"/>
        </w:rPr>
        <w:t>;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BC29AD" w:rsidRPr="00B72558">
        <w:rPr>
          <w:rFonts w:ascii="Arial" w:hAnsi="Arial" w:cs="Arial"/>
          <w:sz w:val="24"/>
          <w:szCs w:val="24"/>
        </w:rPr>
        <w:t xml:space="preserve"> każda osoba może głosować na </w:t>
      </w:r>
      <w:r w:rsidRPr="00B72558">
        <w:rPr>
          <w:rFonts w:ascii="Arial" w:hAnsi="Arial" w:cs="Arial"/>
          <w:sz w:val="24"/>
          <w:szCs w:val="24"/>
        </w:rPr>
        <w:t>1</w:t>
      </w:r>
      <w:r w:rsidR="00BC29AD" w:rsidRPr="00B72558">
        <w:rPr>
          <w:rFonts w:ascii="Arial" w:hAnsi="Arial" w:cs="Arial"/>
          <w:sz w:val="24"/>
          <w:szCs w:val="24"/>
        </w:rPr>
        <w:t xml:space="preserve"> projekt</w:t>
      </w:r>
      <w:r w:rsidRPr="00B72558">
        <w:rPr>
          <w:rFonts w:ascii="Arial" w:hAnsi="Arial" w:cs="Arial"/>
          <w:sz w:val="24"/>
          <w:szCs w:val="24"/>
        </w:rPr>
        <w:t xml:space="preserve"> </w:t>
      </w:r>
      <w:r w:rsidR="00BC29AD" w:rsidRPr="00B72558">
        <w:rPr>
          <w:rFonts w:ascii="Arial" w:hAnsi="Arial" w:cs="Arial"/>
          <w:sz w:val="24"/>
          <w:szCs w:val="24"/>
        </w:rPr>
        <w:t xml:space="preserve">duży i </w:t>
      </w:r>
      <w:r w:rsidRPr="00B72558">
        <w:rPr>
          <w:rFonts w:ascii="Arial" w:hAnsi="Arial" w:cs="Arial"/>
          <w:sz w:val="24"/>
          <w:szCs w:val="24"/>
        </w:rPr>
        <w:t>2 małe</w:t>
      </w:r>
      <w:r w:rsidR="00FE3B63">
        <w:rPr>
          <w:rFonts w:ascii="Arial" w:hAnsi="Arial" w:cs="Arial"/>
          <w:sz w:val="24"/>
          <w:szCs w:val="24"/>
        </w:rPr>
        <w:t>;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BC29AD" w:rsidRPr="00B72558">
        <w:rPr>
          <w:rFonts w:ascii="Arial" w:hAnsi="Arial" w:cs="Arial"/>
          <w:sz w:val="24"/>
          <w:szCs w:val="24"/>
        </w:rPr>
        <w:t xml:space="preserve">głosować podobnie jak w ubiegłym roku mogą </w:t>
      </w:r>
      <w:r w:rsidRPr="00B72558">
        <w:rPr>
          <w:rFonts w:ascii="Arial" w:hAnsi="Arial" w:cs="Arial"/>
          <w:sz w:val="24"/>
          <w:szCs w:val="24"/>
        </w:rPr>
        <w:t>osoby zameldowane + dopisane</w:t>
      </w:r>
      <w:r w:rsidR="00BC29AD" w:rsidRPr="00B72558">
        <w:rPr>
          <w:rFonts w:ascii="Arial" w:hAnsi="Arial" w:cs="Arial"/>
          <w:sz w:val="24"/>
          <w:szCs w:val="24"/>
        </w:rPr>
        <w:t xml:space="preserve"> do listy</w:t>
      </w:r>
      <w:r w:rsidRPr="00B72558">
        <w:rPr>
          <w:rFonts w:ascii="Arial" w:hAnsi="Arial" w:cs="Arial"/>
          <w:sz w:val="24"/>
          <w:szCs w:val="24"/>
        </w:rPr>
        <w:t xml:space="preserve"> (osoby dotychczas dopisane są nadal w systemie)</w:t>
      </w:r>
      <w:r w:rsidR="00FE3B63">
        <w:rPr>
          <w:rFonts w:ascii="Arial" w:hAnsi="Arial" w:cs="Arial"/>
          <w:sz w:val="24"/>
          <w:szCs w:val="24"/>
        </w:rPr>
        <w:t>;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FE3B63">
        <w:rPr>
          <w:rFonts w:ascii="Arial" w:hAnsi="Arial" w:cs="Arial"/>
          <w:sz w:val="24"/>
          <w:szCs w:val="24"/>
        </w:rPr>
        <w:t>g</w:t>
      </w:r>
      <w:r w:rsidRPr="00B72558">
        <w:rPr>
          <w:rFonts w:ascii="Arial" w:hAnsi="Arial" w:cs="Arial"/>
          <w:sz w:val="24"/>
          <w:szCs w:val="24"/>
        </w:rPr>
        <w:t>łosowanie papierowe – osobiste w Urzędzie Miasta</w:t>
      </w:r>
      <w:r w:rsidR="00FE3B63">
        <w:rPr>
          <w:rFonts w:ascii="Arial" w:hAnsi="Arial" w:cs="Arial"/>
          <w:sz w:val="24"/>
          <w:szCs w:val="24"/>
        </w:rPr>
        <w:t>;</w:t>
      </w:r>
    </w:p>
    <w:p w:rsidR="00BC29A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FE3B63">
        <w:rPr>
          <w:rFonts w:ascii="Arial" w:hAnsi="Arial" w:cs="Arial"/>
          <w:sz w:val="24"/>
          <w:szCs w:val="24"/>
        </w:rPr>
        <w:t>g</w:t>
      </w:r>
      <w:r w:rsidRPr="00B72558">
        <w:rPr>
          <w:rFonts w:ascii="Arial" w:hAnsi="Arial" w:cs="Arial"/>
          <w:sz w:val="24"/>
          <w:szCs w:val="24"/>
        </w:rPr>
        <w:t xml:space="preserve">łosowanie elektroniczne </w:t>
      </w:r>
      <w:r w:rsidR="00FE3B63">
        <w:rPr>
          <w:rFonts w:ascii="Arial" w:hAnsi="Arial" w:cs="Arial"/>
          <w:sz w:val="24"/>
          <w:szCs w:val="24"/>
        </w:rPr>
        <w:t>:</w:t>
      </w:r>
    </w:p>
    <w:p w:rsidR="00FF0992" w:rsidRPr="00B72558" w:rsidRDefault="0081714D" w:rsidP="008F5D18">
      <w:pPr>
        <w:pStyle w:val="Akapitzlist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</w:t>
      </w:r>
      <w:r w:rsidR="00FE3B63">
        <w:rPr>
          <w:rFonts w:ascii="Arial" w:hAnsi="Arial" w:cs="Arial"/>
          <w:sz w:val="24"/>
          <w:szCs w:val="24"/>
        </w:rPr>
        <w:t>o</w:t>
      </w:r>
      <w:r w:rsidR="00FF0992" w:rsidRPr="00B72558">
        <w:rPr>
          <w:rFonts w:ascii="Arial" w:hAnsi="Arial" w:cs="Arial"/>
          <w:sz w:val="24"/>
          <w:szCs w:val="24"/>
        </w:rPr>
        <w:t xml:space="preserve">graniczenie możliwości głosowania przez </w:t>
      </w:r>
      <w:proofErr w:type="spellStart"/>
      <w:r w:rsidR="00FF0992" w:rsidRPr="00B72558">
        <w:rPr>
          <w:rFonts w:ascii="Arial" w:hAnsi="Arial" w:cs="Arial"/>
          <w:sz w:val="24"/>
          <w:szCs w:val="24"/>
        </w:rPr>
        <w:t>internet</w:t>
      </w:r>
      <w:proofErr w:type="spellEnd"/>
      <w:r w:rsidR="00FF0992" w:rsidRPr="00B72558">
        <w:rPr>
          <w:rFonts w:ascii="Arial" w:hAnsi="Arial" w:cs="Arial"/>
          <w:sz w:val="24"/>
          <w:szCs w:val="24"/>
        </w:rPr>
        <w:t xml:space="preserve"> do 5 z 1 numeru telefonu/ adresu e-mail</w:t>
      </w:r>
      <w:r w:rsidR="00FE3B63">
        <w:rPr>
          <w:rFonts w:ascii="Arial" w:hAnsi="Arial" w:cs="Arial"/>
          <w:sz w:val="24"/>
          <w:szCs w:val="24"/>
        </w:rPr>
        <w:t>;</w:t>
      </w:r>
    </w:p>
    <w:p w:rsidR="00BC29AD" w:rsidRPr="00B72558" w:rsidRDefault="00FF0992" w:rsidP="008F5D18">
      <w:pPr>
        <w:pStyle w:val="Akapitzlist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sz w:val="24"/>
          <w:szCs w:val="24"/>
        </w:rPr>
        <w:t xml:space="preserve">- dodatkowo </w:t>
      </w:r>
      <w:r w:rsidR="0081714D" w:rsidRPr="00B72558">
        <w:rPr>
          <w:rFonts w:ascii="Arial" w:hAnsi="Arial" w:cs="Arial"/>
          <w:sz w:val="24"/>
          <w:szCs w:val="24"/>
        </w:rPr>
        <w:t>w bibliotekach</w:t>
      </w:r>
      <w:r w:rsidR="00BC29AD" w:rsidRPr="00B72558">
        <w:rPr>
          <w:rFonts w:ascii="Arial" w:hAnsi="Arial" w:cs="Arial"/>
          <w:sz w:val="24"/>
          <w:szCs w:val="24"/>
        </w:rPr>
        <w:t xml:space="preserve"> będzie można zagłosować </w:t>
      </w:r>
      <w:r w:rsidR="0081714D" w:rsidRPr="00B72558">
        <w:rPr>
          <w:rFonts w:ascii="Arial" w:hAnsi="Arial" w:cs="Arial"/>
          <w:sz w:val="24"/>
          <w:szCs w:val="24"/>
        </w:rPr>
        <w:t xml:space="preserve">bez konieczności </w:t>
      </w:r>
      <w:r w:rsidR="00BC29AD" w:rsidRPr="00B72558">
        <w:rPr>
          <w:rFonts w:ascii="Arial" w:hAnsi="Arial" w:cs="Arial"/>
          <w:sz w:val="24"/>
          <w:szCs w:val="24"/>
        </w:rPr>
        <w:t>dodatkowej rejestracji</w:t>
      </w:r>
      <w:r w:rsidR="0081714D" w:rsidRPr="00B72558">
        <w:rPr>
          <w:rFonts w:ascii="Arial" w:hAnsi="Arial" w:cs="Arial"/>
          <w:sz w:val="24"/>
          <w:szCs w:val="24"/>
        </w:rPr>
        <w:t>, a na dzielnicach gdzie nie ma MBP zorganizujemy punkt do głosowania</w:t>
      </w:r>
      <w:r w:rsidR="00BC29AD" w:rsidRPr="00B72558">
        <w:rPr>
          <w:rFonts w:ascii="Arial" w:hAnsi="Arial" w:cs="Arial"/>
          <w:sz w:val="24"/>
          <w:szCs w:val="24"/>
        </w:rPr>
        <w:t xml:space="preserve"> działający co</w:t>
      </w:r>
      <w:r w:rsidRPr="00B72558">
        <w:rPr>
          <w:rFonts w:ascii="Arial" w:hAnsi="Arial" w:cs="Arial"/>
          <w:sz w:val="24"/>
          <w:szCs w:val="24"/>
        </w:rPr>
        <w:t xml:space="preserve"> </w:t>
      </w:r>
      <w:r w:rsidR="00BC29AD" w:rsidRPr="00B72558">
        <w:rPr>
          <w:rFonts w:ascii="Arial" w:hAnsi="Arial" w:cs="Arial"/>
          <w:sz w:val="24"/>
          <w:szCs w:val="24"/>
        </w:rPr>
        <w:t>najmniej</w:t>
      </w:r>
      <w:r w:rsidR="0081714D" w:rsidRPr="00B72558">
        <w:rPr>
          <w:rFonts w:ascii="Arial" w:hAnsi="Arial" w:cs="Arial"/>
          <w:sz w:val="24"/>
          <w:szCs w:val="24"/>
        </w:rPr>
        <w:t xml:space="preserve"> przez kilka dni</w:t>
      </w:r>
      <w:r w:rsidRPr="00B72558">
        <w:rPr>
          <w:rFonts w:ascii="Arial" w:hAnsi="Arial" w:cs="Arial"/>
          <w:sz w:val="24"/>
          <w:szCs w:val="24"/>
        </w:rPr>
        <w:t>.</w:t>
      </w:r>
    </w:p>
    <w:p w:rsidR="0081714D" w:rsidRPr="00B72558" w:rsidRDefault="0081714D" w:rsidP="008F5D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14D" w:rsidRPr="00B72558" w:rsidRDefault="0081714D" w:rsidP="008F5D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hAnsi="Arial" w:cs="Arial"/>
          <w:b/>
          <w:sz w:val="24"/>
          <w:szCs w:val="24"/>
        </w:rPr>
        <w:t>Projekty gwarantowane (do 150 tys.) –</w:t>
      </w:r>
      <w:r w:rsidRPr="00B72558">
        <w:rPr>
          <w:rFonts w:ascii="Arial" w:hAnsi="Arial" w:cs="Arial"/>
          <w:sz w:val="24"/>
          <w:szCs w:val="24"/>
        </w:rPr>
        <w:t xml:space="preserve"> minimalna ilość głosów 150</w:t>
      </w:r>
    </w:p>
    <w:p w:rsidR="002F5298" w:rsidRPr="00B72558" w:rsidRDefault="0081714D" w:rsidP="00B7255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72558">
        <w:rPr>
          <w:rFonts w:ascii="Arial" w:eastAsia="Times New Roman" w:hAnsi="Arial" w:cs="Arial"/>
          <w:sz w:val="24"/>
          <w:szCs w:val="24"/>
          <w:lang w:eastAsia="pl-PL"/>
        </w:rPr>
        <w:t>W spotkaniu uczestniczyło 18 osób, w tym przedstawiciele kilku Rad Dzielnic.</w:t>
      </w:r>
    </w:p>
    <w:sectPr w:rsidR="002F5298" w:rsidRPr="00B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6E5"/>
    <w:multiLevelType w:val="multilevel"/>
    <w:tmpl w:val="224E9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580D05"/>
    <w:multiLevelType w:val="multilevel"/>
    <w:tmpl w:val="3E3E2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FB49FE"/>
    <w:multiLevelType w:val="multilevel"/>
    <w:tmpl w:val="C6F2A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B43291"/>
    <w:multiLevelType w:val="multilevel"/>
    <w:tmpl w:val="5EEAC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282E1D"/>
    <w:multiLevelType w:val="multilevel"/>
    <w:tmpl w:val="B114F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B55F93"/>
    <w:multiLevelType w:val="multilevel"/>
    <w:tmpl w:val="BD9ED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1F10B7"/>
    <w:multiLevelType w:val="multilevel"/>
    <w:tmpl w:val="D9E22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487B29"/>
    <w:multiLevelType w:val="hybridMultilevel"/>
    <w:tmpl w:val="18F84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E371A"/>
    <w:multiLevelType w:val="multilevel"/>
    <w:tmpl w:val="185E1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63F78FE"/>
    <w:multiLevelType w:val="multilevel"/>
    <w:tmpl w:val="180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40D4F"/>
    <w:multiLevelType w:val="multilevel"/>
    <w:tmpl w:val="78E43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08227AB"/>
    <w:multiLevelType w:val="multilevel"/>
    <w:tmpl w:val="F8DCC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E295BDF"/>
    <w:multiLevelType w:val="multilevel"/>
    <w:tmpl w:val="7D1E5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A5B3E7C"/>
    <w:multiLevelType w:val="multilevel"/>
    <w:tmpl w:val="C7860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A705FFF"/>
    <w:multiLevelType w:val="multilevel"/>
    <w:tmpl w:val="E6A25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7"/>
    <w:rsid w:val="0009448E"/>
    <w:rsid w:val="000E6A9F"/>
    <w:rsid w:val="000F43A3"/>
    <w:rsid w:val="0015686F"/>
    <w:rsid w:val="002F5298"/>
    <w:rsid w:val="00350F93"/>
    <w:rsid w:val="00356F54"/>
    <w:rsid w:val="005642F9"/>
    <w:rsid w:val="005705E3"/>
    <w:rsid w:val="00594364"/>
    <w:rsid w:val="007839C2"/>
    <w:rsid w:val="0081714D"/>
    <w:rsid w:val="008E59DC"/>
    <w:rsid w:val="008F5D18"/>
    <w:rsid w:val="00966D08"/>
    <w:rsid w:val="009D1543"/>
    <w:rsid w:val="00A916B7"/>
    <w:rsid w:val="00B032C7"/>
    <w:rsid w:val="00B15521"/>
    <w:rsid w:val="00B6700D"/>
    <w:rsid w:val="00B72558"/>
    <w:rsid w:val="00BA5F46"/>
    <w:rsid w:val="00BC29AD"/>
    <w:rsid w:val="00C11515"/>
    <w:rsid w:val="00C324C6"/>
    <w:rsid w:val="00CB0E12"/>
    <w:rsid w:val="00CC560B"/>
    <w:rsid w:val="00F359D8"/>
    <w:rsid w:val="00FE3B63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7416-E89D-46AA-A7F0-D9E8A9E8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6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3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686F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686F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686F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686F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686F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686F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686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3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5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5686F"/>
    <w:rPr>
      <w:rFonts w:asciiTheme="majorHAnsi" w:eastAsiaTheme="majorEastAsia" w:hAnsiTheme="majorHAnsi" w:cstheme="majorBidi"/>
      <w:b/>
      <w:bCs/>
      <w:color w:val="000000" w:themeColor="text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686F"/>
    <w:rPr>
      <w:rFonts w:asciiTheme="majorHAnsi" w:eastAsiaTheme="majorEastAsia" w:hAnsiTheme="majorHAnsi" w:cstheme="majorBidi"/>
      <w:b/>
      <w:bCs/>
      <w:i/>
      <w:iCs/>
      <w:color w:val="000000" w:themeColor="text1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5686F"/>
    <w:rPr>
      <w:rFonts w:asciiTheme="majorHAnsi" w:eastAsiaTheme="majorEastAsia" w:hAnsiTheme="majorHAnsi" w:cstheme="majorBidi"/>
      <w:color w:val="323E4F" w:themeColor="text2" w:themeShade="BF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5686F"/>
    <w:rPr>
      <w:rFonts w:asciiTheme="majorHAnsi" w:eastAsiaTheme="majorEastAsia" w:hAnsiTheme="majorHAnsi" w:cstheme="majorBidi"/>
      <w:i/>
      <w:iCs/>
      <w:color w:val="323E4F" w:themeColor="text2" w:themeShade="BF"/>
      <w:lang w:val="pl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686F"/>
    <w:rPr>
      <w:rFonts w:asciiTheme="majorHAnsi" w:eastAsiaTheme="majorEastAsia" w:hAnsiTheme="majorHAnsi" w:cstheme="majorBidi"/>
      <w:i/>
      <w:iCs/>
      <w:color w:val="404040" w:themeColor="text1" w:themeTint="BF"/>
      <w:lang w:val="pl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68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6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5686F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86F"/>
    <w:pPr>
      <w:pBdr>
        <w:bottom w:val="single" w:sz="4" w:space="1" w:color="595959" w:themeColor="text1" w:themeTint="A6"/>
      </w:pBdr>
      <w:spacing w:before="360" w:after="160"/>
      <w:ind w:left="432" w:hanging="432"/>
      <w:outlineLvl w:val="9"/>
    </w:pPr>
    <w:rPr>
      <w:b/>
      <w:bCs/>
      <w:smallCaps/>
      <w:color w:val="000000" w:themeColor="text1"/>
      <w:sz w:val="36"/>
      <w:szCs w:val="36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86F"/>
    <w:pPr>
      <w:spacing w:after="100"/>
    </w:pPr>
    <w:rPr>
      <w:rFonts w:eastAsiaTheme="minorEastAsia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1568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3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1714D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171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71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ywatelski@lubli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1904</Words>
  <Characters>11429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Machocka</dc:creator>
  <cp:keywords/>
  <dc:description/>
  <cp:lastModifiedBy>Anna Machocka</cp:lastModifiedBy>
  <cp:revision>2</cp:revision>
  <dcterms:created xsi:type="dcterms:W3CDTF">2018-03-01T09:33:00Z</dcterms:created>
  <dcterms:modified xsi:type="dcterms:W3CDTF">2018-03-01T09:33:00Z</dcterms:modified>
</cp:coreProperties>
</file>