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</w:t>
      </w:r>
    </w:p>
    <w:tbl>
      <w:tblPr>
        <w:tblW w:w="13740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457"/>
        <w:gridCol w:w="452"/>
        <w:gridCol w:w="3581"/>
        <w:gridCol w:w="1696"/>
        <w:gridCol w:w="6554"/>
      </w:tblGrid>
      <w:tr>
        <w:trPr>
          <w:trHeight w:val="315" w:hRule="atLeast"/>
        </w:trPr>
        <w:tc>
          <w:tcPr>
            <w:tcW w:w="13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Informacje podstawowe</w:t>
            </w:r>
          </w:p>
        </w:tc>
      </w:tr>
      <w:tr>
        <w:trPr>
          <w:trHeight w:val="31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Temat konsultacji</w:t>
            </w:r>
          </w:p>
        </w:tc>
        <w:tc>
          <w:tcPr>
            <w:tcW w:w="12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Projekt dokumentu Lubelskie standardy dostępności kultury</w:t>
            </w:r>
          </w:p>
          <w:p>
            <w:pPr>
              <w:pStyle w:val="LO-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57" w:right="-4479" w:hanging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https://bip.lublin.eu/urzad-miasta-lublin/ogloszenia/konsultacje-spoleczne/2023/ogloszenie-o-konsultacjach-spolecznych-projekt-dokumentu-lubelskie-standardy-dostepnosci-kultury-,3,28326,2.html</w:t>
            </w:r>
          </w:p>
        </w:tc>
      </w:tr>
      <w:tr>
        <w:trPr>
          <w:trHeight w:val="55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Tytuł zgłoszonego projektu</w:t>
            </w:r>
          </w:p>
        </w:tc>
        <w:tc>
          <w:tcPr>
            <w:tcW w:w="12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Lubelskie standardy dostępności kultury</w:t>
            </w:r>
          </w:p>
        </w:tc>
      </w:tr>
      <w:tr>
        <w:trPr>
          <w:trHeight w:val="31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Lokalizacja spotkań</w:t>
            </w:r>
          </w:p>
        </w:tc>
        <w:tc>
          <w:tcPr>
            <w:tcW w:w="12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Urząd Miasta Lublin, ul. Spokojna 2</w:t>
            </w:r>
          </w:p>
        </w:tc>
      </w:tr>
      <w:tr>
        <w:trPr>
          <w:trHeight w:val="31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2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30.05.2023 (wtorek) godz. 16:00 -18.00, 02.06.2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z w:val="22"/>
                <w:szCs w:val="22"/>
              </w:rPr>
              <w:t>23 r. (piątek), godz.10: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00 </w:t>
            </w:r>
            <w:r>
              <w:rPr>
                <w:rFonts w:eastAsia="Times New Roman" w:cs="Times New Roman"/>
                <w:sz w:val="22"/>
                <w:szCs w:val="22"/>
              </w:rPr>
              <w:t>-12.00</w:t>
            </w:r>
          </w:p>
        </w:tc>
      </w:tr>
      <w:tr>
        <w:trPr>
          <w:trHeight w:val="55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Liczba uczestników </w:t>
              <w:br/>
              <w:t>i uczestniczek</w:t>
            </w:r>
          </w:p>
        </w:tc>
        <w:tc>
          <w:tcPr>
            <w:tcW w:w="12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 osób, spotkani</w:t>
            </w:r>
            <w:r>
              <w:rPr>
                <w:rFonts w:eastAsia="Times New Roman" w:cs="Times New Roman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był</w:t>
            </w:r>
            <w:r>
              <w:rPr>
                <w:rFonts w:eastAsia="Times New Roman" w:cs="Times New Roman"/>
                <w:sz w:val="22"/>
                <w:szCs w:val="22"/>
              </w:rPr>
              <w:t>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tłumaczone na PJM.</w:t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Uwagi wpłynęły także drogą mailową.</w:t>
            </w:r>
          </w:p>
        </w:tc>
      </w:tr>
      <w:tr>
        <w:trPr>
          <w:trHeight w:val="315" w:hRule="atLeast"/>
        </w:trPr>
        <w:tc>
          <w:tcPr>
            <w:tcW w:w="13740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13740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Zestawienie opinii</w:t>
            </w:r>
          </w:p>
        </w:tc>
      </w:tr>
      <w:tr>
        <w:trPr>
          <w:trHeight w:val="315" w:hRule="atLeast"/>
        </w:trPr>
        <w:tc>
          <w:tcPr>
            <w:tcW w:w="137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I etap konsultacji</w:t>
            </w:r>
          </w:p>
        </w:tc>
      </w:tr>
      <w:tr>
        <w:trPr>
          <w:trHeight w:val="55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Kategoria tematyczna opinii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Treść opinii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 uwagi/</w:t>
            </w:r>
            <w:r>
              <w:rPr>
                <w:b/>
                <w:bCs/>
                <w:sz w:val="22"/>
                <w:szCs w:val="22"/>
              </w:rPr>
              <w:t>opinii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 na uwagę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Ogólne opinie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  <w:p>
            <w:pPr>
              <w:pStyle w:val="LO-normal"/>
              <w:widowControl w:val="false"/>
              <w:numPr>
                <w:ilvl w:val="0"/>
                <w:numId w:val="2"/>
              </w:numPr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Kwestie definicyjne: „osoba </w:t>
              <w:br/>
              <w:t xml:space="preserve">z niepełnosprawnością” – ustawa szczegółowo określa, kto jest osobą z niepełnosprawnością, można jednak doświadczać barier </w:t>
              <w:br/>
              <w:t>i nie mieć orzeczenia, definicja ustawowa jest ograniczająca, bo potrzebne jest orzeczenie. Postulat zmiany na zapis - osoba ze szczególnymi potrzebami lub szersza lista.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i w:val="false"/>
                <w:iCs w:val="false"/>
                <w:sz w:val="22"/>
                <w:szCs w:val="22"/>
              </w:rPr>
              <w:t>Lubelskie standardy dostępności kultury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zostały wypracowane </w:t>
              <w:br/>
              <w:t xml:space="preserve">w ramach projektu, który dotyczył osób z niepełnosprawnościami. Grupa robocza, przygotowująca treść Standardów,  odnosiła  się do osób z niepełnosprawnościami. Ponadto pracy nad tekstem przyświecała idea projektowania uniwersalnego, według którego dąży się do takiego przygotowania produktów i usług, by były dostępne dla jak największej liczby osób.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Standardy były kierowane do osób z niepełnosprawnościami.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Natomiast nie jest celem wykluczanie osób, które na przykład nie posiadają orzeczenia o niepełnosprawności. 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Dokument odnosi się do Strategii Lublin 2030, brakuje jednak stwierdzenia, że o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bywatele wraz </w:t>
              <w:br/>
              <w:t>z władzami miasta nadzorują poziom dostępności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w Lublinie.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i w:val="false"/>
                <w:iCs w:val="false"/>
                <w:color w:val="000000"/>
              </w:rPr>
              <w:br/>
              <w:t>p</w:t>
            </w:r>
            <w:r>
              <w:rPr>
                <w:rStyle w:val="Domylnaczcionkaakapitu"/>
                <w:rFonts w:cs="Calibri"/>
                <w:b w:val="false"/>
                <w:bCs w:val="false"/>
                <w:color w:val="000000"/>
              </w:rPr>
              <w:t>oza przedmiotem konsultacji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Strategia powstała dzięki zaangażowaniu mieszkańców </w:t>
              <w:br/>
              <w:t>i powołanej grupy ekspertów. 13 tys. Mieszkańców było zaangażowanych w prace definiowania wizji rozwoju miasta,</w:t>
              <w:br/>
              <w:t xml:space="preserve"> a wspierało ich 120 ekspertów. Strategia definiuje proces</w:t>
              <w:br/>
              <w:t xml:space="preserve"> i kierunki zmian rozwoju miasta i obszary priorytetowe dla zmian, ale nie przypisuje realizacji celów poszczególnym jednostkom</w:t>
              <w:br/>
              <w:t xml:space="preserve"> i wydziałom. Strategia stawia zadania dla wszystkich. Daje możliwość włączania w realizację celów i budowanie partnerstw. Uzupełnieniem strategii są natomiast konkretne programy realizowane przez poszczególne wydziały i komórki.</w:t>
            </w:r>
          </w:p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Obywatele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mogą nadzorować dostępność poprzez wnioski </w:t>
              <w:br/>
              <w:t xml:space="preserve">o zapewnienie dostępności.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Mog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ą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też w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ystępowa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ć o informacje</w:t>
              <w:br/>
              <w:t xml:space="preserve"> o dostępności lub jej braku. </w:t>
            </w:r>
            <w:r>
              <w:rPr>
                <w:rFonts w:eastAsia="Times New Roman" w:cs="Times New Roman"/>
                <w:color w:val="000000"/>
                <w:sz w:val="23"/>
                <w:szCs w:val="22"/>
              </w:rPr>
              <w:t>Ka</w:t>
            </w:r>
            <w:r>
              <w:rPr>
                <w:color w:val="000000"/>
                <w:sz w:val="23"/>
              </w:rPr>
              <w:t xml:space="preserve">żdy, bez konieczności wykazania interesu prawnego lub faktycznego, ma prawo poinformować podmiot publiczny o braku dostępności architektonicznej lub informacyjno-komunikacyjnej, </w:t>
            </w:r>
            <w:r>
              <w:rPr>
                <w:color w:val="000000"/>
                <w:sz w:val="23"/>
              </w:rPr>
              <w:t>co wynika z Ustawy</w:t>
              <w:br/>
              <w:t xml:space="preserve"> o zapewnieniu dostępności osobom ze szczególnymi potrzebami.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fill="auto" w:val="clear"/>
              </w:rPr>
              <w:t>3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shd w:fill="auto" w:val="clear"/>
              </w:rPr>
              <w:t xml:space="preserve">Czy standardy były konsultowane </w:t>
              <w:br/>
              <w:t xml:space="preserve">z Radą Seniorów? </w:t>
              <w:br/>
              <w:t>Wśród seniorów są osoby niepełnosprawne.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w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płynęło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zapytanie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Proces tworzenia Standardów był ogólnodostępny, mogły w nim wziąć udział wszystkie zainteresowane osoby </w:t>
            </w:r>
            <w:r>
              <w:rPr>
                <w:sz w:val="22"/>
                <w:szCs w:val="22"/>
                <w:shd w:fill="auto" w:val="clear"/>
              </w:rPr>
              <w:t>i podmioty</w:t>
            </w:r>
            <w:r>
              <w:rPr>
                <w:sz w:val="22"/>
                <w:szCs w:val="22"/>
                <w:shd w:fill="auto" w:val="clear"/>
              </w:rPr>
              <w:t>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Postulat dla osób przygotowujących aplikację do ESK, żeby zdawały sobie sprawę z tego, że są takie standardy. Aplikacja jest szansą przeforsowania wielu kwestii związanych z dostępnością.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br/>
            </w:r>
            <w:r>
              <w:rPr>
                <w:rStyle w:val="Domylnaczcionkaakapitu"/>
                <w:rFonts w:cs="Calibri"/>
                <w:b w:val="false"/>
                <w:bCs w:val="false"/>
                <w:color w:val="000000"/>
                <w:sz w:val="22"/>
                <w:szCs w:val="22"/>
              </w:rPr>
              <w:t>poza przedmiotem konsultacji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Uwaga nie dotyczy treści dokumentu Lubelskie standardy dostępności kultury.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fill="auto" w:val="clear"/>
              </w:rPr>
              <w:t>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Nie ma dostępności w urzędach, należy zacząć od siebie, to urzędy powinny świecić przykładem, a nie tylko organizacje.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br/>
            </w:r>
            <w:r>
              <w:rPr>
                <w:rStyle w:val="Domylnaczcionkaakapitu"/>
                <w:rFonts w:cs="Calibri"/>
                <w:b w:val="false"/>
                <w:bCs w:val="false"/>
                <w:color w:val="000000"/>
                <w:sz w:val="22"/>
                <w:szCs w:val="22"/>
              </w:rPr>
              <w:t>poza przedmiotem konsultacji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Uwaga nie dotyczy treści dokumentu Lubelskie standardy dostępności kultury.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Zarządzanie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113" w:right="0" w:hanging="0"/>
              <w:jc w:val="left"/>
              <w:rPr>
                <w:rFonts w:ascii="Arial" w:hAnsi="Arial" w:eastAsia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</w:rPr>
              <w:t xml:space="preserve">Przygotowanie koordynatorów/koordynatorek (pkt. 4) Co to znaczy odpowiednie przygotowanie? </w:t>
              <w:br/>
              <w:t xml:space="preserve">Czy są takie wytyczne, które świadczą o odpowiednim przygotowaniu? Skąd osoby pracujące będą wiedziały, że są odpowiednio przygotowane? Co to znaczy, że jest osoba odpowiednio przygotowana -  merytorycznie, z ustaw czy osoba, która np. jeździ na wózku i wie to </w:t>
              <w:br/>
              <w:t>z praktyki?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 xml:space="preserve">Do tekstu </w:t>
            </w:r>
            <w:r>
              <w:rPr>
                <w:rFonts w:eastAsia="Times New Roman" w:cs="Times New Roman"/>
                <w:i w:val="false"/>
                <w:iCs w:val="false"/>
                <w:sz w:val="22"/>
                <w:szCs w:val="22"/>
              </w:rPr>
              <w:t>Lubelskich standardów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dostępności kultury pkt 4, s. 9 zostanie dopisane sformułowanie, że 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dpowiednie przygotowanie </w:t>
            </w:r>
            <w:r>
              <w:rPr>
                <w:rFonts w:eastAsia="Times New Roman" w:cs="Times New Roman"/>
                <w:sz w:val="22"/>
                <w:szCs w:val="22"/>
              </w:rPr>
              <w:t>koordynatora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, wynika ze szkoleń, doświadczenia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współpracy </w:t>
              <w:br/>
              <w:t xml:space="preserve">z osobami z niepełnosprawnościami.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Może to być też osoba </w:t>
              <w:br/>
              <w:t>z niepełnosprawnościami, która spełnia powyższe wymogi.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NGO musi wprowadzać dostępność, ale nie należy stwierdzać wprost kto ma ponosić odpowiedzialność.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/>
            </w:pPr>
            <w:r>
              <w:rPr/>
              <w:t>Organizacje nie mają obowiązku przyjąć Standard</w:t>
            </w:r>
            <w:r>
              <w:rPr/>
              <w:t>ó</w:t>
            </w:r>
            <w:r>
              <w:rPr/>
              <w:t>w, jednak jeśli realizują zadania z</w:t>
            </w:r>
            <w:r>
              <w:rPr/>
              <w:t>e środków</w:t>
            </w:r>
            <w:r>
              <w:rPr/>
              <w:t xml:space="preserve"> publicznych są zobowiązane zapewnić dostęp</w:t>
            </w:r>
            <w:r>
              <w:rPr/>
              <w:t>ność</w:t>
            </w:r>
            <w:r>
              <w:rPr/>
              <w:t xml:space="preserve">. </w:t>
            </w:r>
            <w:r>
              <w:rPr/>
              <w:t>W pkt. 2 s. 9, zostanie dopisane, że władze organizacji mogą powołać koordynatora dostępności.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</w:rPr>
              <w:t xml:space="preserve">Osoba koordynująca działania </w:t>
              <w:br/>
              <w:t>w mieście i osoba doradzająca: Czy jest osoba koordynująca</w:t>
            </w: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 wszystkie działania w mieście, osoba do której można się zwrócić po pomoc oraz po informacje?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w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płynęło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zapytanie,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57" w:hanging="0"/>
              <w:jc w:val="left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 xml:space="preserve">Odpowiedź udzielona w trakcie konsultacji: </w:t>
            </w:r>
            <w:r>
              <w:rPr>
                <w:rFonts w:eastAsia="Times New Roman" w:cs="Times New Roman"/>
                <w:sz w:val="22"/>
                <w:szCs w:val="22"/>
              </w:rPr>
              <w:t>t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aka osoba formalnie jest, to pani dyrektor </w:t>
            </w:r>
            <w:r>
              <w:rPr>
                <w:rFonts w:eastAsia="Times New Roman" w:cs="Times New Roman"/>
                <w:sz w:val="22"/>
                <w:szCs w:val="22"/>
              </w:rPr>
              <w:t>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ydziału ds.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Osób Niepełnosprawnych,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pani dyrektor jest koordynatorem dostępności Urzęd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Miasta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Lublin </w:t>
              <w:br/>
              <w:t xml:space="preserve">i jednostek organizacyjnych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iasta Lublin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 Funkcjonuj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także </w:t>
              <w:br/>
              <w:t xml:space="preserve">w Wydziale ds. Osób Niepełnosprawnych referat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ds.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dostępnoś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ci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Wsparcie eksperckie z zakresu koordynacji dostępności dla grup nieformalnych i NGO</w:t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jc w:val="both"/>
              <w:rPr>
                <w:rFonts w:ascii="Arial" w:hAnsi="Arial" w:eastAsia="Times New Roman"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Wskazana byłaby obecność eksperta dla grup formalnych </w:t>
              <w:br/>
              <w:t>i nieformalnych, jak i m.in. dla Rad Dzielnic.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>
              <w:rPr>
                <w:rFonts w:eastAsia="Times New Roman" w:cs="Times New Roman"/>
                <w:sz w:val="22"/>
                <w:szCs w:val="22"/>
              </w:rPr>
              <w:t>względnion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r>
              <w:rPr>
                <w:rFonts w:eastAsia="Times New Roman" w:cs="Times New Roman"/>
                <w:sz w:val="22"/>
                <w:szCs w:val="22"/>
              </w:rPr>
              <w:t>częściowo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 wejściu w życie Lubelskich standardów dostępności kultury powstanie sieć koordynatorów i koordynatorek,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która będzie wspierać merytorycznie dostępność wydarzeń. Ponadto konkretne rady i wskazówki są zawarte w Podręczniku, który stanowi załącznik do Lubelskich standardów.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 miarę możliwości Urząd Miasta będzie organizował szkolenia na temat dostępności.</w:t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 kwestiach spornych dotyczących dostępności organizowanego wydarzenia można zgłaszać pytania d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 Wydziału ds.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sób Niepełnosprawnych.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 w:eastAsia="Times New Roman" w:cs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Wynagrodzenie: poparcie wynagrodzenia dla koordynatora.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Zapis zostaje w dokumencie (pkt 4, s. 9).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tabs>
                <w:tab w:val="clear" w:pos="720"/>
                <w:tab w:val="left" w:pos="225" w:leader="none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225" w:leader="none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225" w:leader="none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Rozkład odpowiedzialności </w:t>
              <w:br/>
              <w:t xml:space="preserve">w instytucji (pkt. 2): 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z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adaniami dostępnościowymi ma zajmować się cała instytucja, a nie tylko koordynator dostępności, koordynator ma koordynować działania – nie być odpowiedzialny za dostępność – postulat zmiany tego punktu: z </w:t>
            </w:r>
            <w:r>
              <w:rPr>
                <w:rFonts w:eastAsia="Times New Roman" w:cs="Times New Roman"/>
                <w:b w:val="false"/>
                <w:bCs w:val="false"/>
                <w:i/>
                <w:color w:val="000000"/>
                <w:sz w:val="22"/>
                <w:szCs w:val="22"/>
              </w:rPr>
              <w:t>zajmuje się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 na </w:t>
            </w:r>
            <w:r>
              <w:rPr>
                <w:rFonts w:eastAsia="Times New Roman" w:cs="Times New Roman"/>
                <w:b w:val="false"/>
                <w:bCs w:val="false"/>
                <w:i/>
                <w:color w:val="000000"/>
                <w:sz w:val="22"/>
                <w:szCs w:val="22"/>
              </w:rPr>
              <w:t>koordynuje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 Bycie koordynatorem to nie tylko zarządzanie, ale też działanie </w:t>
              <w:br/>
              <w:t xml:space="preserve">i powinny pojawić się te wątki </w:t>
              <w:br/>
              <w:t>w dokumencie, dlatego ten punkt trzeba rozłożyć na różne aspekty, nadać szerszą perspektywę zakresu odpowiedzialności koordynatora/koordynatorki, pełniejszą definicję tego stanowiska.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/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zh-CN" w:bidi="hi-IN"/>
              </w:rPr>
              <w:t xml:space="preserve">Pełniejsza definicja stanowiska koordynatora / koordynatorki dostępności znajduje się w pkt. 6, 7, 8, 14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zh-CN" w:bidi="hi-IN"/>
              </w:rPr>
              <w:t>(9-11).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>Z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 xml:space="preserve">adania koordynatora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 xml:space="preserve">są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>określ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>one w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 xml:space="preserve"> Ustaw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>ie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zh-CN" w:bidi="hi-IN"/>
              </w:rPr>
              <w:t xml:space="preserve"> o zapewnieniu dostępności osobom ze szczególnymi potrzebami.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Jaki jest zakres odpowiedzialności za nie stosowanie standardów w działaniach NGO?</w:t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Decyzja o wdrażaniu standardów jest wyborem NGO i wpływ na to jest niestosowny.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w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płynęło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zapytanie,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57" w:hanging="0"/>
              <w:jc w:val="left"/>
              <w:rPr/>
            </w:pPr>
            <w:r>
              <w:rPr>
                <w:sz w:val="22"/>
                <w:szCs w:val="22"/>
              </w:rPr>
              <w:t xml:space="preserve">Standardy dotyczą NGO-sów, jeśli korzystają z pieniędzy publicznych udzielonych w dotacjach z Urzędu Miasta Lublin. </w:t>
              <w:br/>
              <w:t xml:space="preserve">W ogłoszeniach konkursowych </w:t>
            </w:r>
            <w:r>
              <w:rPr>
                <w:sz w:val="22"/>
                <w:szCs w:val="22"/>
              </w:rPr>
              <w:t>jest zapis o tym</w:t>
            </w:r>
            <w:r>
              <w:rPr>
                <w:sz w:val="22"/>
                <w:szCs w:val="22"/>
              </w:rPr>
              <w:t xml:space="preserve">,  że organizacje mają stosować się do przepisów ustawy. Zapisy te będą rozszerzone o konieczność stosowania Standardów. </w:t>
            </w:r>
            <w:r>
              <w:rPr>
                <w:color w:val="000000"/>
                <w:sz w:val="22"/>
                <w:szCs w:val="22"/>
              </w:rPr>
              <w:t xml:space="preserve">Przystąpienie do 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tandardów jest dobrowolne. Jednak korzystanie z dofinansowań ze środków Gminy oznacza potrzebę realizacji zapisów wskazanych w umowie o realizacji zadania w zakresie zapewnienia dostępności.</w:t>
            </w:r>
          </w:p>
        </w:tc>
      </w:tr>
      <w:tr>
        <w:trPr>
          <w:trHeight w:val="885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Co to będzie oznaczać, jeśli NGO nie przyjmie standardów? Czy jeśli NGO odrzuca standardy to nie może się starać o środki z UM?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w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płynęło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zapytanie,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Nie ma obowiązku przyjęcia Standardów, mają one pomóc </w:t>
              <w:br/>
              <w:t xml:space="preserve">i ułatwić zapewnienie dostępności. Natomiast organizacje pozarządowe są zobowiązane do przestrzegania ustawy. 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Na ile miasto jako partner</w:t>
              <w:br/>
              <w:t xml:space="preserve"> i dyspozytor środków będzie pomagało</w:t>
              <w:br/>
              <w:t xml:space="preserve"> w </w:t>
            </w:r>
            <w:r>
              <w:rPr>
                <w:rFonts w:eastAsia="Times New Roman" w:cs="Times New Roman"/>
                <w:sz w:val="22"/>
                <w:szCs w:val="22"/>
              </w:rPr>
              <w:t>p</w:t>
            </w:r>
            <w:r>
              <w:rPr>
                <w:rFonts w:eastAsia="Times New Roman" w:cs="Times New Roman"/>
                <w:sz w:val="22"/>
                <w:szCs w:val="22"/>
              </w:rPr>
              <w:t>rzestrzeganiu/wprowadzaniu standardów dostępności, np.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poprzez wsparcie osobowe (osoba ekspercka)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i sprzętowe (np. wypożyczenie pętli indukcyjnej), pomoc, monitorowanie, możliwość wypożyczania np. potrzebnego sprzętu, osób?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>
                <w:rStyle w:val="Domylnaczcionkaakapitu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w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płynęło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zapytanie,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Wsparcie eksperckie – odpowiedź udzielona wyżej w pkt 8.</w:t>
            </w:r>
          </w:p>
          <w:p>
            <w:pPr>
              <w:pStyle w:val="LO-normal"/>
              <w:widowControl w:val="false"/>
              <w:spacing w:lineRule="auto" w:line="276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podrozdziale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Współdzielenie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pkt 1 jest informacja o stworzeniu bazy z informacjami o możliwym do wypożyczenia sprzęcie.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Wzajemne sieciowanie koordynatorów, wymiana doświadczeń, uczestnictwo w powołanym zespole ułatwi proces edukacji </w:t>
              <w:br/>
              <w:t>i zapewniania dostępności.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FF4000"/>
                <w:sz w:val="22"/>
                <w:szCs w:val="22"/>
              </w:rPr>
            </w:pPr>
            <w:r>
              <w:rPr>
                <w:rFonts w:eastAsia="Times New Roman" w:cs="Times New Roman"/>
                <w:color w:val="FF4000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Czy sam Urząd Miasta i inne wydziały będą potem przestrzegać tych standardów?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Style w:val="Domylnaczcionkaakapitu"/>
                <w:rFonts w:eastAsia="Times New Roman" w:cs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br/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w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płynęło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</w:t>
            </w:r>
            <w:r>
              <w:rPr>
                <w:rStyle w:val="Domylnaczcionkaakapitu"/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zapytanie,</w:t>
            </w:r>
            <w:r>
              <w:rPr>
                <w:rStyle w:val="Domylnaczcionkaakapitu"/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Urząd Miasta Lublin będzie zobowiązany do przestrzegania Lubelskich standardów w zakresie, któr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y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go dotycz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y (na przykład pkt 1, s. 12, pkt 1, s. 13) oraz przy organizacji własnych wydarzeń.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UM powinien być przykładem dla innych. UM powinien pilnować dostępności np. dokumentów cyfrowych.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>oza przedmiotem konsultacji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/>
                <w:color w:val="C9211E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Koordynator dostępności</w:t>
            </w:r>
            <w:r>
              <w:rPr>
                <w:sz w:val="22"/>
                <w:szCs w:val="22"/>
              </w:rPr>
              <w:t xml:space="preserve"> (pkt. 14) Koordynator dostępności uczestniczy w przygotowaniu zamówienia publicznego – pytanie </w:t>
            </w:r>
            <w:r>
              <w:rPr>
                <w:color w:val="000000"/>
                <w:sz w:val="22"/>
                <w:szCs w:val="22"/>
              </w:rPr>
              <w:t xml:space="preserve">czy każdego zamówienia - </w:t>
            </w:r>
            <w:r>
              <w:rPr>
                <w:sz w:val="22"/>
                <w:szCs w:val="22"/>
              </w:rPr>
              <w:t>to należy doprecyzować, że tych zamówień, które dotyczą dostępności.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Dotyczy każdego wydarzenia finansowanego ze środków publicznych, kierowanego do mieszkańców </w:t>
              <w:br/>
              <w:t xml:space="preserve">(w tym z niepełnosprawnościami),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chyba że dyrektor danej instytucji zadecyduje inaczej.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Potrzebne jest jasne wskazanie koordynatorów odpowiedzialnych za dostępność przy danym wydarzeniu. Wskazano przykład, że podczas Nocy Kultury brakowało takiej osoby.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Taka informacja jest wpisana do Standardów (pkt 6, s. 9).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„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...dążą do utworzenia zespołu” – co to oznacza? Warto to określić, jak będzie miał wyglądać ten zespół? </w:t>
              <w:br/>
              <w:t>W zespół powinny być włączane osoby z niepełnosprawnością, ale powinni to być eksperci.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 xml:space="preserve">Pkt. 6 </w:t>
            </w:r>
            <w:r>
              <w:rPr>
                <w:rFonts w:eastAsia="Times New Roman" w:cs="Times New Roman"/>
                <w:sz w:val="22"/>
                <w:szCs w:val="22"/>
              </w:rPr>
              <w:t>s. 9 zostanie dopisane: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zespołów do spraw dostępności, </w:t>
              <w:br/>
              <w:t xml:space="preserve">w skład którego będą wchodziły osoby z niepełnosprawnościami,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mające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odpowiednie przygotowanie </w:t>
            </w:r>
            <w:r>
              <w:rPr>
                <w:rFonts w:eastAsia="Times New Roman" w:cs="Times New Roman"/>
                <w:sz w:val="22"/>
                <w:szCs w:val="22"/>
              </w:rPr>
              <w:t>i osoby eksperckie.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Współpraca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Times New Roman" w:cs="Times New Roman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22"/>
                <w:szCs w:val="22"/>
              </w:rPr>
              <w:t xml:space="preserve">Raporty roczne (monitoring) Obecnie robione są raporty </w:t>
              <w:br/>
              <w:t xml:space="preserve">z monitoringu dwa razy w roku. Sugestia, żeby UM mógł się podzielić swoimi raportami. </w:t>
            </w:r>
          </w:p>
          <w:p>
            <w:pPr>
              <w:pStyle w:val="Normal"/>
              <w:spacing w:lineRule="auto" w:line="360"/>
              <w:ind w:left="720" w:right="0" w:hanging="0"/>
              <w:jc w:val="both"/>
              <w:rPr>
                <w:rFonts w:ascii="Arial" w:hAnsi="Arial" w:eastAsia="Times New Roman" w:cs="Times New Roman"/>
                <w:b w:val="false"/>
                <w:bCs w:val="false"/>
                <w:color w:val="C9211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C9211E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 pkt. 5 zostanie dopisane, że raporty roczne, dotyczące dostępności będą upubliczniane.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</w:t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pacing w:lineRule="auto" w:line="276"/>
              <w:ind w:left="0" w:right="0" w:hanging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>Koordynator nie ma prawa pytać, czy ktoś ma niepełnosprawność (jest to to pytanie drażliwe), a więc zbieranie takich wskaźników nie jest możliwe.</w:t>
            </w:r>
          </w:p>
          <w:p>
            <w:pPr>
              <w:pStyle w:val="Normal"/>
              <w:spacing w:lineRule="auto" w:line="276"/>
              <w:ind w:left="0" w:right="0" w:hanging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Wyjaśnienie UM: Monitorowanie jest konieczne, należy doprecyzować tylko wskaźniki. </w:t>
            </w:r>
          </w:p>
          <w:p>
            <w:pPr>
              <w:pStyle w:val="Normal"/>
              <w:spacing w:lineRule="auto" w:line="276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Brakuje egzekwowania standardów, ale w kontekście dialogu (“na miękko”). Obecnie są takie konkretne wskaźniki np. ile wydarzeń miało tłumaczenie na PJM. Potrzebne są dane tj. jakie były problemy i czego potrzeba, takie “luźniejsze” rozmowy o problemach, a nie sprawozdania </w:t>
              <w:br/>
              <w:t xml:space="preserve">i raporty z monitoringu. </w:t>
            </w:r>
          </w:p>
          <w:p>
            <w:pPr>
              <w:pStyle w:val="Normal"/>
              <w:spacing w:lineRule="auto" w:line="276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Podkreślona została potrzeba transparentności, żeby </w:t>
            </w: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z </w:t>
            </w:r>
            <w:r>
              <w:rPr>
                <w:rFonts w:eastAsia="Times New Roman" w:cs="Times New Roman" w:ascii="Arial" w:hAnsi="Arial"/>
                <w:sz w:val="22"/>
                <w:szCs w:val="22"/>
              </w:rPr>
              <w:t>tymi raportami dostępności można było się zapoznać, aby ich forma również była dostępna. Wskazano także ogólną potrzebę dialogu wokół wdrażania standardów, poszukiwania przestrzeni ulepszeń czy realizacji niezależnych badań monitorujących.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Times New Roman" w:cs="Times New Roman"/>
                <w:b w:val="false"/>
                <w:bCs w:val="false"/>
                <w:color w:val="C9211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C9211E"/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Sposób monitorowania będzie dopracowywany. W miarę możliwości i adekwatnie do potrzeb i sytuacji będziemy wypracowywać narzędzie monitoringu. Planujemy rozpocz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ą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 xml:space="preserve">ć </w:t>
            </w:r>
            <w:r>
              <w:rPr>
                <w:rFonts w:eastAsia="Times New Roman" w:cs="Times New Roman" w:ascii="Arial" w:hAnsi="Arial"/>
                <w:color w:val="auto"/>
                <w:sz w:val="22"/>
                <w:szCs w:val="22"/>
              </w:rPr>
              <w:t>d</w:t>
            </w:r>
            <w:r>
              <w:rPr>
                <w:rFonts w:eastAsia="Times New Roman" w:cs="Times New Roman" w:ascii="Arial" w:hAnsi="Arial"/>
                <w:color w:val="auto"/>
                <w:sz w:val="22"/>
                <w:szCs w:val="22"/>
              </w:rPr>
              <w:t>ialog wokół wdrażania standardów; monitorowanie „na miękko”, konsultowanie z grupami osób z niepełnosprawnościami.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 xml:space="preserve">Monitorowanie będzie się odbywało także poprzez pokazywanie dobrych praktyk, wskazywanie imprez, na których zastosowano różne narzędzia i rozwiązania służące zapewnieniu dostępności.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22"/>
                <w:szCs w:val="22"/>
              </w:rPr>
              <w:t xml:space="preserve">Dobry kierunek jest taki,  żeby zapraszać środowiska bezpośrednio zaangażowane,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22"/>
                <w:szCs w:val="22"/>
              </w:rPr>
              <w:t xml:space="preserve">które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sz w:val="22"/>
                <w:szCs w:val="22"/>
              </w:rPr>
              <w:t>posiadają ekspertów, narzędzia.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Należy określić wyraźnie zadania UM i jego wydziałów. Powinno być określone, jak ma zostać utworzona sieć współpracy między wydziałami. Należy wskazać podmiot odpowiedzialny za konkretne zapisy (tworzenie sieci) i ewentualną częstotliwość spotkań. </w:t>
              <w:br/>
              <w:t>Osoba odpowiedzialna za tworzenie sieci, może też być osobą wspierającą i doradzającą różnym podmiotom.  Powinna być określona ilość tych spotkań.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n</w:t>
            </w:r>
            <w:r>
              <w:rPr>
                <w:rFonts w:eastAsia="Times New Roman" w:cs="Times New Roman"/>
                <w:sz w:val="22"/>
                <w:szCs w:val="22"/>
              </w:rPr>
              <w:t>ie 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 tekście Standardów są konkretne zapisy, kto ma utworzyć sieć współpracy (pkt 1, s. 12). Częstotliwość spotkań i inne szczegóły organizacyjne zostaną ustalona na spotkaniach sieci.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Spotkania powinny być cykliczne dla dyrektorów, ale nie powinny obejmować osób z NGO, należy stworzyć dla nich odrębny krąg, znaleźć inne rozwiązanie dla NGO. 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Należy stworzyć odrębny krąg spotkań dla przedstawicieli </w:t>
              <w:br/>
              <w:t>i przedstawicielek NGO.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Potrzeba określenia częstotliwości ewentualnych spotkań w ramach sieci np. po wejściu w życie standardów – określić, że pierwsze spotkanie np. 1-2 miesiące po wejściu.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Zbyt duża szczegółowość, trudno sprecyzować czas potrzebny do utworzenia takiej grupy.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57" w:right="0" w:hanging="0"/>
              <w:jc w:val="both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Wspólna polityka cenowa - (Pkt. 6) Powinien być doprecyzowany zapis, obecnie za szeroko zostało to określone np. czy chodzi o wydarzenia własne czy dotowane z UM.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 xml:space="preserve">Dążymy do ujednolicenia polityki cenowej dla wydarzeń kulturalnych w </w:t>
            </w:r>
            <w:r>
              <w:rPr>
                <w:rFonts w:eastAsia="Times New Roman" w:cs="Times New Roman"/>
                <w:sz w:val="22"/>
                <w:szCs w:val="22"/>
              </w:rPr>
              <w:t>m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ieście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organizowanych przez </w:t>
            </w:r>
            <w:r>
              <w:rPr>
                <w:rFonts w:eastAsia="Times New Roman" w:cs="Times New Roman"/>
                <w:sz w:val="22"/>
                <w:szCs w:val="22"/>
              </w:rPr>
              <w:t>instytucje kultury nadzorowane przez Miasto Lublin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Model dostępności instytucji - (pkt. 5) Po czyjej stronie jest ciężar wzoru modelu dostępności instytucji? Kto szykuje taki wzorcowy model opisu?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w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płynęło </w:t>
            </w:r>
            <w:r>
              <w:rPr>
                <w:rStyle w:val="Domylnaczcionkaakapitu"/>
                <w:b/>
                <w:bCs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zapytanie,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Wzór o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pis dostępności wynika z ustawy.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Bardziej szczegółowy opis zostanie wypracowany w ramach sieci koordynatorów / koordynatorek.  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Zasoby niekomercyjne - Czy chodzi o nieodpłatne udzielenie? 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w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płynęło </w:t>
            </w:r>
            <w:r>
              <w:rPr>
                <w:rStyle w:val="Domylnaczcionkaakapitu"/>
                <w:b/>
                <w:bCs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zapytanie,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Powstanie baza ze sprzętem,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który będzie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wypożyczany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nieodpłatnie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podstawie umowy użyczenia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miarę potrzeb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może powstać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baza informacji o sprzęcie odpłatnym.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Baza tłumaczy i asystentów: Kto by ją aktualizował? Jaki charakter miałaby mieć ta baza? Czy określałaby dostępność czasową tłumacza [w danym dniu], czy też byłaby to baza kontaktowa? </w:t>
              <w:br/>
            </w:r>
            <w:r>
              <w:rPr>
                <w:rFonts w:eastAsia="Times New Roman" w:cs="Times New Roman" w:ascii="Arial" w:hAnsi="Arial"/>
                <w:b w:val="false"/>
                <w:bCs w:val="false"/>
                <w:sz w:val="22"/>
                <w:szCs w:val="22"/>
              </w:rPr>
              <w:t xml:space="preserve">W pierwszym wypadku lepiej wykreślić, bo to nie wyjdzie, ze względu na konieczność ciągłej </w:t>
              <w:br/>
              <w:t>i bieżącej aktualizacji. W drugim wypadku jest ok, ale warto do takiej bazy dodać lektora audiodeskrypcji, i inne zawody związane z obszarem dostępności. Obecnie województwo lubelskie posiada bazę tłumaczy. Baza tłumaczy – jest dostępna, ale czy jest aktualizowana na bieżąco?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fill="auto" w:val="clear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fill="auto" w:val="clear"/>
              </w:rPr>
              <w:t xml:space="preserve">o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fill="auto" w:val="clear"/>
              </w:rPr>
              <w:t>częściowo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/>
            </w:pPr>
            <w:r>
              <w:rPr/>
              <w:t xml:space="preserve">  </w:t>
            </w:r>
          </w:p>
          <w:p>
            <w:pPr>
              <w:pStyle w:val="LO-normal"/>
              <w:widowControl w:val="false"/>
              <w:spacing w:lineRule="auto" w:line="276"/>
              <w:rPr/>
            </w:pPr>
            <w:r>
              <w:rPr/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Po analizach podjęto decyzję o rezygnacji z tworzenia takiej bazy.</w:t>
            </w:r>
            <w:r>
              <w:rPr/>
              <w:t xml:space="preserve"> 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Komunikacja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>Formatka (</w:t>
            </w:r>
            <w:r>
              <w:rPr>
                <w:sz w:val="22"/>
                <w:szCs w:val="22"/>
              </w:rPr>
              <w:t>Pkt. 5) - Kto przygotuje formatkę? Kto będzie to sprawdzał, egzekwował i wypełniał w instytucji? Jednolita formatka – to nie jest jednoznaczne co to znaczy.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Po analizach podjęto decyzję o rezygnacji z formatki.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Dostęp do informacji na stronie - Wydarzenia tłumaczone na PJM są niezaznaczone na stronie urzędu kultura.lublin.eu.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płynęło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zap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ytanie</w:t>
            </w:r>
            <w:r>
              <w:rPr>
                <w:rFonts w:eastAsia="Times New Roman" w:cs="Times New Roman"/>
                <w:sz w:val="22"/>
                <w:szCs w:val="22"/>
              </w:rPr>
              <w:t>, udzielono odpowiedzi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 stronie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https://lublin.eu/kultura/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jest ogólna zakładka </w:t>
              <w:br/>
            </w:r>
            <w:r>
              <w:rPr>
                <w:rFonts w:eastAsia="Times New Roman" w:cs="Times New Roman"/>
                <w:sz w:val="22"/>
                <w:szCs w:val="22"/>
              </w:rPr>
              <w:t xml:space="preserve">z informacją o tym,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że wydarzenie jest dostępne, natomiast szczegóły dostępności </w:t>
            </w:r>
            <w:r>
              <w:rPr>
                <w:rFonts w:eastAsia="Times New Roman" w:cs="Times New Roman"/>
                <w:sz w:val="22"/>
                <w:szCs w:val="22"/>
              </w:rPr>
              <w:t>znajdują się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w opisach poszczególnych wydarzeń.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Jak jest z dostępnością cyfrową strony kultura.lublin.eu?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Style w:val="Domylnaczcionkaakapitu"/>
                <w:rFonts w:cs="Calibri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br/>
            </w:r>
            <w:r>
              <w:rPr>
                <w:rStyle w:val="Domylnaczcionkaakapitu"/>
                <w:rFonts w:cs="Calibri"/>
                <w:b w:val="false"/>
                <w:bCs w:val="false"/>
                <w:color w:val="000000"/>
                <w:sz w:val="22"/>
                <w:szCs w:val="22"/>
              </w:rPr>
              <w:t>poza przedmiotem konsultacji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Seniorzy - Wśród seniorów są osoby niepełnosprawne, dobrze by było o nich nie zapominać, bo nie mają informacji o dostępności wydarzeń.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nie uwzględniono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Standardy dotyczą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także seniorów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 niepełnosprawnościami.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sz w:val="22"/>
                <w:szCs w:val="22"/>
              </w:rPr>
              <w:t>Lubelskie standardy dostępności kultury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zostały wypracowane </w:t>
              <w:br/>
              <w:t>w ramach projektu, który dotyczył osób z niepełnosprawnościami. Grupa robocza, przygotowująca treść Standardów,  odnosiła  się do osób z niepełnosprawnościami. Ponadto pracy nad tekstem przyświecała idea projektowania uniwersalnego, według którego dąży się do takiego przygotowania produktów i usług, by były dostępne dla jak największej liczby osób.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Komunikacja dostępna dla dwóch zmysłów: </w:t>
            </w:r>
            <w:r>
              <w:rPr>
                <w:b w:val="false"/>
                <w:bCs w:val="false"/>
                <w:sz w:val="22"/>
                <w:szCs w:val="22"/>
              </w:rPr>
              <w:t>m</w:t>
            </w:r>
            <w:r>
              <w:rPr>
                <w:b w:val="false"/>
                <w:bCs w:val="false"/>
                <w:sz w:val="22"/>
                <w:szCs w:val="22"/>
              </w:rPr>
              <w:t>amy dostęp do języka migowego, ale więcej</w:t>
              <w:br/>
              <w:t xml:space="preserve"> z nas posługuje się zmysłem słuchu. Podczas wydarzeń, żeby była dostępna [dla wszystkich] – komunikacja dostępna przynajmniej dla dwóch zmysłów.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Wymóg spełniony, szczegółowy opis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znajduje się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 podręczniku.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Różne języki migania - Głusi czasem nie rozumieją tłumacza, bo np. miga w systemowym języku migowym.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Kwestia rodzaju tłumaczenia jest regulowana na poziomie składania zamówienia. Jest ono dostosowane do zgłoszonych oczekiwań.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Informacje na drukach - Informacje o dostępności na ulotkach np. Nocy Kultury.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Informacje o dostępności na drukach mogą zostać wprowadzone poprzez piktogramy, które po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wstają w celu oznakowania organizowanych wydarzeń,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fi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nansowan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ych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/współfinansowan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ych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  <w:br/>
              <w:t xml:space="preserve">z budżetu miasta.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Zostaną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one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przekazane do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instytucji kultury nadzorowanych przez Miasto Lublin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 celu stosowania.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Sugerowałabym ujednolicenie zapisu w obu dokumentach</w:t>
              <w:br/>
              <w:t xml:space="preserve"> i zastosowanie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 „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2"/>
                <w:szCs w:val="22"/>
              </w:rPr>
              <w:t>osoby w spektrum autyzmu"</w:t>
            </w: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 xml:space="preserve"> oraz dodanie opcji „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2"/>
                <w:szCs w:val="22"/>
              </w:rPr>
              <w:t>osoby autystyczne".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Piktogramy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piktogramy będą konsultowane z osobami zainteresowanymi w środowisku?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w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płynęło </w:t>
            </w:r>
            <w:r>
              <w:rPr>
                <w:rStyle w:val="Domylnaczcionkaakapitu"/>
                <w:b/>
                <w:bCs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zapytanie,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fill="auto" w:val="clear"/>
              </w:rPr>
              <w:t>Proces tworzenia standardów, w tym propozycj</w:t>
            </w:r>
            <w:r>
              <w:rPr>
                <w:color w:val="000000"/>
                <w:sz w:val="22"/>
                <w:szCs w:val="22"/>
                <w:shd w:fill="auto" w:val="clear"/>
              </w:rPr>
              <w:t>i</w:t>
            </w:r>
            <w:r>
              <w:rPr>
                <w:color w:val="000000"/>
                <w:sz w:val="22"/>
                <w:szCs w:val="22"/>
                <w:shd w:fill="auto" w:val="clear"/>
              </w:rPr>
              <w:t xml:space="preserve"> piktogramów, </w:t>
            </w:r>
            <w:r>
              <w:rPr>
                <w:color w:val="000000"/>
                <w:sz w:val="22"/>
                <w:szCs w:val="22"/>
                <w:shd w:fill="auto" w:val="clear"/>
              </w:rPr>
              <w:t xml:space="preserve">jak również konsultacje </w:t>
            </w:r>
            <w:r>
              <w:rPr>
                <w:color w:val="000000"/>
                <w:sz w:val="22"/>
                <w:szCs w:val="22"/>
                <w:shd w:fill="auto" w:val="clear"/>
              </w:rPr>
              <w:t>był</w:t>
            </w:r>
            <w:r>
              <w:rPr>
                <w:color w:val="000000"/>
                <w:sz w:val="22"/>
                <w:szCs w:val="22"/>
                <w:shd w:fill="auto" w:val="clear"/>
              </w:rPr>
              <w:t>y</w:t>
            </w:r>
            <w:r>
              <w:rPr>
                <w:color w:val="000000"/>
                <w:sz w:val="22"/>
                <w:szCs w:val="22"/>
                <w:shd w:fill="auto" w:val="clear"/>
              </w:rPr>
              <w:t xml:space="preserve"> ogólnodostępn</w:t>
            </w:r>
            <w:r>
              <w:rPr>
                <w:color w:val="000000"/>
                <w:sz w:val="22"/>
                <w:szCs w:val="22"/>
                <w:shd w:fill="auto" w:val="clear"/>
              </w:rPr>
              <w:t>e</w:t>
            </w:r>
            <w:r>
              <w:rPr>
                <w:color w:val="000000"/>
                <w:sz w:val="22"/>
                <w:szCs w:val="22"/>
                <w:shd w:fill="auto" w:val="clear"/>
              </w:rPr>
              <w:t>, mogły w ni</w:t>
            </w:r>
            <w:r>
              <w:rPr>
                <w:color w:val="000000"/>
                <w:sz w:val="22"/>
                <w:szCs w:val="22"/>
                <w:shd w:fill="auto" w:val="clear"/>
              </w:rPr>
              <w:t>ch</w:t>
            </w:r>
            <w:r>
              <w:rPr>
                <w:color w:val="000000"/>
                <w:sz w:val="22"/>
                <w:szCs w:val="22"/>
                <w:shd w:fill="auto" w:val="clear"/>
              </w:rPr>
              <w:t xml:space="preserve"> wziąć udział wszystkie zainteresowane osoby.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piktogramy mają charakter międzynarodowy, formami, które są używane i się sprawdzają?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w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płynęło </w:t>
            </w:r>
            <w:r>
              <w:rPr>
                <w:rStyle w:val="Domylnaczcionkaakapitu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>zapytanie,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Odpowiedź udzielona w trakcie spotkania -  tak były wzorowane na powszechnie stosowanych znakach.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jest potrzeba tworzenia nowych piktogramów, jeśli są już takie w powszechnym użyciu?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w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płynęło </w:t>
            </w:r>
            <w:r>
              <w:rPr>
                <w:rStyle w:val="Domylnaczcionkaakapitu"/>
                <w:b/>
                <w:bCs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zapytanie,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 udzielono odpowiedzi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Wykorzystujemy powszechnie stosowane wzory piktogramów, niektóre z nich występują w różnych wariantach. Zestaw został wyselekcjonowany i przyjęty w czasie spotkań grupy przygotowującej Standardy.</w:t>
            </w:r>
          </w:p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bookmarkStart w:id="0" w:name="_gjdgxs"/>
            <w:bookmarkEnd w:id="0"/>
            <w:r>
              <w:rPr>
                <w:color w:val="000000"/>
                <w:sz w:val="22"/>
                <w:szCs w:val="22"/>
              </w:rPr>
              <w:t>Czy można użyć kontrastowych barw w piktogramach? Jest wyraźna potrzeba użycia największych wskaźników kontrastu.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Piktogramy będą w kontrastowych barwach: czarno-białe </w:t>
              <w:br/>
              <w:t>i niebiesko-białe i będą użyte wskaźniki zgodnie z normą.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41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bookmarkStart w:id="1" w:name="_6r0gyijq26dv"/>
            <w:bookmarkEnd w:id="1"/>
            <w:r>
              <w:rPr>
                <w:color w:val="000000"/>
                <w:sz w:val="22"/>
                <w:szCs w:val="22"/>
              </w:rPr>
              <w:t xml:space="preserve">Nie twórzmy nowych piktogramów tam, gdzie one już są, np. ETR – uśmiechnięta buzia z książką </w:t>
              <w:br/>
              <w:t>i kciukiem.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Piktogramy powstały  w oparciu o już istniejące i powszechnie wykorzystywane wzory.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Zaproponowany znak z literami ETR także jest rozpoznawalny.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Pikogram ETR (uśmiechnięta buzia z książką i kciukiem) – obawiam się co ten piktogram za sobą niesie i czy instytucje są w stanie udźwignąć związane </w:t>
              <w:br/>
              <w:t xml:space="preserve">z tym wymagania – tekst musi być skonsultowany. W DDK “Węglin” zrobiliśmy własne piktogramy, ale nie operujemy skrótami w trosce </w:t>
              <w:br/>
              <w:t>o osoby starsze</w:t>
              <w:br/>
            </w:r>
            <w:r>
              <w:rPr>
                <w:color w:val="000000"/>
                <w:sz w:val="22"/>
                <w:szCs w:val="22"/>
              </w:rPr>
              <w:t xml:space="preserve">i z </w:t>
            </w:r>
            <w:r>
              <w:rPr>
                <w:color w:val="000000"/>
                <w:sz w:val="22"/>
                <w:szCs w:val="22"/>
              </w:rPr>
              <w:t>niepełnosprawnością intelektualną.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Treści opatrzone tym piktogramem muszą być każdorazowo skonsultowane z grupą osób, do której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są kierowane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Organizacje i instytucje mogą nie sprostać temu trudnemu wymaganiu. Zaproponowany znak z literami ETR także jest rozpoznawalny.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Potrzeba znalezienia odpowiednika piktogramu  z asystentem, czegoś uniwersalnego, bo osoby </w:t>
              <w:br/>
              <w:t xml:space="preserve">w spektrum autyzmu też często korzystają z pomocy asystenta, </w:t>
              <w:br/>
              <w:t>a użycie wózka w grafice sprawia, że się z nią nie identyfikują.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Zmiana piktogramu jest możliwa po dodatkowych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analizach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Obecnie trwają nad tym prace.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pierwszego piktogramu: dodałabym tam osobę wolontariusza/ asystenta – on też potrzebuje miejsca siedzącego.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Odnośnie drugiego piktogramu, pojawił się pomysł napisu ASYSTA.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Zmiana piktogramu jest możliwa po dodatkowych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analizach.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Piktogram - może zamiast osoby na wózku – przekreślone schody?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Piktogramy powstały  w oparciu o już istniejące i powszechnie wykorzystywane wzory, stworzenie zupełnie nowego piktogramu może nie odnieść spodziewanego efektu – nie zostanie dobrze/właściwie zrozumiany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Piktogram pętla – należy zbliżyć ten znak do normy ISO.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Pracujemy nad zmianą tego piktogramu w celu dostosowania go do obowiązujących norm.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Odnośnie piktogramu dot. nadwrażliwości sensorycznych, uważam, że zebranie wszystkiego w jedno nie jest dobrym pomysłem, powinno być to oddzielone. Jeśli będzie wydarzenie z takim piktogramem to nie wiem, czy nie będzie świateł stroboskopowych czy, że będzie pokój wyciszenia – „rozbicie” na kilka piktogramów, „jest za dużo tych znaków, osoba może nie dostrzec interesującego ją znaku- 5 zmysłów to za dużo.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Zmiana piktogramu jest możliwa po dodatkowych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analizach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Przygotowanie odpowiednich piktogramów stanowi proces. Zestaw będzie rozszerzany i udoskonalany.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Kto i które osoby będą wyedukowane w szczegółach piktogramów?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Przykład jednej</w:t>
              <w:br/>
              <w:t>z lubelskich uczelni: mimo, że jest koordynatorka dostępności, nie wie jakiego piktogramu użyć. Czy będzie szersza edukacja na ten temat?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Style w:val="Domylnaczcionkaakapitu"/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Style w:val="Domylnaczcionkaakapitu"/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Planujemy przeprowadzić akcj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ę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informacyjną i szkolenia po wejściu w życie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Lube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l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s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k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ich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s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tandardów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d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ostępności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k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ultury.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Piktogramy powinny być zamieszczane na materiałach informacyjnych o wydarzeniu, np. broszura na Noc Kultury.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Ewentualny zbiór piktogramów – </w:t>
              <w:br/>
              <w:t>w formie papierowej, nie wszyscy odnajdują się w Internecie.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Po wprowadzeniu dokumentu Lubelskie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s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tandardy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d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ostępności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>k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</w:rPr>
              <w:t xml:space="preserve">ultury, będziemy dążyć do tego, żeby zawarte w nim wskazówki </w:t>
              <w:br/>
              <w:t>i wytyczne były stosowane przez organizacje/instytucje/</w:t>
              <w:br/>
              <w:t>koordynatorów/osoby organizujące wydarzenia kulturalne.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Czy standardy mówią, gdzie powinny pojawić się piktogramy, np. szyba, drzwi, WC, przed budynkiem?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Zbyt szczegółowe wytyczne,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piktogramy powinny być zamieszczane adekwatnie do miejsca i danego wydarzenia.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Pytanie o stosowanie skrótów dotyczących danego języka – zróżnicowanie językowe. To dobry pomysł, bo wśród turystów są osoby niepełnosprawne.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Zamiast piktogramu z N (napisy) - dodać z S (subtitles), CC?” – kierunek międzynarodowy, ujednolicenie - kwestia do zgłębienia.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Grupa robocza, przygotowująca tekst Standardów, wybrała taki znak.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39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Są dwa rodzaje tłumaczy: systemowy język migowy i PJM – należy to rozróżnić; pytanie: </w:t>
              <w:br/>
              <w:t>z którego języka dana osoba wolałaby skorzystać.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jc w:val="lef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Według Standardów piktogram z rękami oznacza najbardziej powszechne tłumaczenie na PJM. </w:t>
              <w:br/>
              <w:t xml:space="preserve">W przypadku tłumaczenia na SJM należy to dodatkowo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zgłosić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odać flagę w związku </w:t>
              <w:br/>
              <w:t>z tłumaczeniem na język migowy innej narodowości, ale można dodać skrót literowy dot. danego języka.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Piktogramy mają być w dwóch wersjach, niebiesko-białych </w:t>
              <w:br/>
              <w:t xml:space="preserve">i czarno-białych. Zastosowanie flag jest więc niemożliwe. Co do skrótów literowych oznaczających dany kraj – </w:t>
            </w:r>
            <w:r>
              <w:rPr>
                <w:color w:val="000000"/>
                <w:sz w:val="22"/>
                <w:szCs w:val="22"/>
              </w:rPr>
              <w:t>na tym etapie wprowadzamy system podstawowych piktogramów, nie wykluczamy, że w przyszłości będą one modyfikowane, jeśli będzie taka potrzeba.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Znak rąk to tłumaczenie na PJM. Jeśli robimy tłumaczenie na SJM – wtedy warto dodać że to SJM. Są duże różnice między PJM, SJM, osoby głuche wolą PJM,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SJM jest obecnie mało popularny.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Można rozważyć piktogram - informację dla osób starszych</w:t>
              <w:br/>
              <w:t xml:space="preserve"> i z niepełnosprawnością narządów ruchu mówiący o tym, że na wydarzeniu są dostępne miejsca siedzące.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nie uwzględniono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Standardy zostały opracowane dla grupy osób </w:t>
              <w:br/>
              <w:t>z niepełnosprawnością.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Podręcznik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 czy będą dodatkowe środki dla instytucji kultury na zapewnienie dostępności?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w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płynęło </w:t>
            </w:r>
            <w:r>
              <w:rPr>
                <w:rStyle w:val="Domylnaczcionkaakapitu"/>
                <w:b/>
                <w:bCs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>zapytanie,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hd w:fill="auto" w:val="clear"/>
              </w:rPr>
              <w:t xml:space="preserve"> udzielono odpowiedzi.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Zgodnie z art. 17 ustawy z 25 października 1991 r. </w:t>
              <w:br/>
              <w:t xml:space="preserve">o organizowaniu i prowadzeniu działalności kulturalnej, dyrektor zarządza instytucją kultury i reprezentuje ją na zewnątrz. Podstawą gospodarki finansowej Instytucji kultury jest plan finansowy ustalony przez dyrektora, z zachowaniem wysokości dotacji organizatora (art. 27 ust. 3 wskazanej ustawy). W związku z tym, to do dyrektora należy decyzja czy w ramach posiadanych środków, kierując się zasadami efektywności ich wykorzystania, </w:t>
              <w:br/>
              <w:t>w ustalonym przez niego planie finansowym wygospodaruje dodatkowe środki z przeznaczeniem na dostępność. Instytucje kultury, w miarę posiadanych możliwości, pozyskują dodatkowe środki ze źródeł pozabudżetowych na dostępność. Ponadto, instytucje kultury jako jednostki sektora finansów publicznych mają obowiązek zapewnienia dostępności osobom ze szczególnymi potrzebami (art. 3 pkt 1 Ustawy z 19 lipca 2019 r. o zapewnianiu dostępności osobom ze szczególnymi potrzebami).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Przydałaby się „checklista” dla osób dbających o dostępność przy organizacji wydarzeń.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n</w:t>
            </w:r>
            <w:r>
              <w:rPr>
                <w:color w:val="000000"/>
              </w:rPr>
              <w:t>ie uwzględniono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Wszystkie wymogi dostępności znajdują się w Podręczniku.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Podręczniku w rozdziale Podstawy Język (strona 2.) </w:t>
              <w:br/>
              <w:t xml:space="preserve">jest lista osób </w:t>
              <w:br/>
              <w:t>z niepełnosprawnościami ale brakuje tam osób słabosłyszących. Moja rekomendacja to uwzględnienie tej grupy w liście ozn.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Podręcznik, strona 24. - tworzenie wystawy dostępnej dla osób g/Głuchych - sugerowałam dopisanie, że tłumaczenie na PJM można umieścić również w formie naklejek z kodami QR, które odbiorcy mogą samodzielnie zeskanować prywatnymi telefonami.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b w:val="false"/>
                <w:bCs w:val="false"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FF0000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61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Cały tekst Podręcznika wymaga korekty (przecinki, kropki itd.)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str. 2 – wyrażenia są jak najbardziej prawidłowe, aczkolwiek „osoba w kryzysie bezdomności” nie pasuje </w:t>
              <w:br/>
              <w:t xml:space="preserve">w sytuacji, kiedy wymieniamy same osoby z różnymi rodzajami niepełnosprawności. 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63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 xml:space="preserve">Jeżeli skupiamy się na osobach </w:t>
              <w:br/>
              <w:t xml:space="preserve">z niepełnosprawnością możemy dopisać „osoby </w:t>
              <w:br/>
              <w:t>z niepełnosprawnościami związanymi z chorobami przewlekłymi”. Ogólnie w mojej opinii warto skupić się po prostu na osobach ze szczególnymi potrzebami, niezależnie czy mają orzeczenie o niepełnosprawności czy nie.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Standardy </w:t>
            </w:r>
            <w:r>
              <w:rPr>
                <w:rFonts w:eastAsia="Times New Roman" w:cs="Times New Roman"/>
                <w:sz w:val="22"/>
                <w:szCs w:val="22"/>
              </w:rPr>
              <w:t>są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kierowane do osób z niepełnosprawnościami. Natomiast nie jest celem wykluczanie osób, które na przykład nie posiadają orzeczenia o niepełnosprawności. 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„zdania konkretne” str</w:t>
            </w:r>
            <w:r>
              <w:rPr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 4,5,8 np. – określenie konkretne nic nie mówi czytającemu, lepsze moim zdaniem jest określenie „język prosty i rzeczowy, bez zdań wielokrotnie złożonych </w:t>
              <w:br/>
              <w:t>i kwiecistych metafor”.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Osoby z niepełnosprawnością intelektualną str. 5 - Przesyłam fragment opracowanych przeze mnie procedur dla jednej </w:t>
              <w:br/>
              <w:t>z instytucji – można dopisać.</w:t>
            </w:r>
          </w:p>
          <w:p>
            <w:pPr>
              <w:pStyle w:val="ListParagraph"/>
              <w:widowControl w:val="false"/>
              <w:spacing w:lineRule="auto" w:line="276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osób z niepełnosprawnością intelektualną należy się zwracać używając prostego języka, krótkich zdań oraz z powtórzeniami kluczowych treści. Warto zrezygnować z kwiecistych metafor, także w przypadku osób ze spektrum autyzmu i osób</w:t>
              <w:br/>
              <w:t xml:space="preserve"> z problemami zdrowia psychicznego. Należy także unikać przeładowania informacjami.</w:t>
            </w:r>
          </w:p>
          <w:p>
            <w:pPr>
              <w:pStyle w:val="ListParagraph"/>
              <w:widowControl w:val="false"/>
              <w:spacing w:lineRule="auto" w:line="276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 miarę możliwości instytucja kultury zapewnia proste formularze lub pomaga w ich zrozumieniu </w:t>
              <w:br/>
              <w:t>i wypełnieniu.</w:t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0" w:right="0" w:hanging="0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Zarówno osobom </w:t>
              <w:br/>
              <w:t xml:space="preserve">z niepełnosprawnością intelektualną jak i osobom ze spektrum autyzmu oraz </w:t>
              <w:br/>
              <w:t>z problemami zdrowia psychicznego jest zapewniana odpowiednia ilość czasu na zrozumienie lub uspokojenie się.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center"/>
              <w:rPr>
                <w:rFonts w:ascii="Arial" w:hAnsi="Arial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/>
                <w:color w:val="C9211E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Do p</w:t>
            </w:r>
            <w:r>
              <w:rPr>
                <w:sz w:val="22"/>
                <w:szCs w:val="22"/>
              </w:rPr>
              <w:t>unktu</w:t>
            </w:r>
            <w:r>
              <w:rPr>
                <w:sz w:val="22"/>
                <w:szCs w:val="22"/>
              </w:rPr>
              <w:t xml:space="preserve"> 6,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trona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 xml:space="preserve"> – materiał drukowany powinien mieć czcionkę bezszeryfową i być zaprojektowana tak, aby zachować odpowiedni kontrast.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instytucja str</w:t>
            </w:r>
            <w:r>
              <w:rPr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 17 – Warto umieć tworzyć treści dostępne na stronie – czcionka bezszeryfowa, odpowiedniej wielkości, dostępne dokumenty Word i pdf, odpowiedni kontrast, wstawiony tekst alternatywny, bez justowania.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trona</w:t>
            </w:r>
            <w:r>
              <w:rPr>
                <w:sz w:val="22"/>
                <w:szCs w:val="22"/>
              </w:rPr>
              <w:t xml:space="preserve"> 17 – warto wyznaczyć osobę odpowiedzialną za ewakuację OzN. 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69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podstaw dopisać – „Nie zastawiać i nie zawężać wyjść ewakuacyjnych”.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trona</w:t>
            </w:r>
            <w:r>
              <w:rPr>
                <w:sz w:val="22"/>
                <w:szCs w:val="22"/>
              </w:rPr>
              <w:t xml:space="preserve"> 5 Może być również kąt wyciszenia.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filmów w PJM powinny być napisy. Głusi z różnych regionów Polski mogą mieć różne znaki migowe na ten sam wyraz. Napisy mogą pomóc. Lektor jest zbędny, choć często instytucje przy zleceniach się go domagają. 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Napisy są obowiązkowe.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SJM powinien być również dopuszczalny na życzenie – większość tłumaczy w rejestrze zna ten język.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73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 by muzeum miało zapasowe wózki inwalidzkie – mogą skorzystać m.in. kobiety </w:t>
              <w:br/>
              <w:t>w ciąży, przewlekle chore, które szybciej się męczą lub starsze. Str</w:t>
            </w:r>
            <w:r>
              <w:rPr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Standardy dotyczą osób z niepełnosprawnościami.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Ławki do odpoczynku – tak j</w:t>
            </w:r>
            <w:r>
              <w:rPr>
                <w:sz w:val="22"/>
                <w:szCs w:val="22"/>
              </w:rPr>
              <w:t xml:space="preserve">ak 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yżej,</w:t>
            </w:r>
            <w:r>
              <w:rPr>
                <w:sz w:val="22"/>
                <w:szCs w:val="22"/>
              </w:rPr>
              <w:t xml:space="preserve"> korzystają osoby z tymi potrzebami.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Standardy dotyczą osób z niepełnosprawnościami.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Str</w:t>
            </w:r>
            <w:r>
              <w:rPr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 18 – oprócz toalety warto przygotować „komfortkę” – miejsce do przewijania dla dorosłych osób</w:t>
              <w:br/>
              <w:t xml:space="preserve"> z niepełnosprawnością; najlepiej </w:t>
              <w:br/>
              <w:t>w osobnym pomieszczeniu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Propozycja 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kt. 7, </w:t>
            </w:r>
            <w:r>
              <w:rPr>
                <w:color w:val="000000"/>
              </w:rPr>
              <w:t>s. 18:</w:t>
            </w:r>
            <w:r>
              <w:rPr>
                <w:color w:val="000000"/>
              </w:rPr>
              <w:t xml:space="preserve"> zapewnij dostępn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 toaletę na miejscu wydarzenia. Elementem mile widzianym będzie </w:t>
            </w:r>
            <w:r>
              <w:rPr>
                <w:color w:val="000000"/>
              </w:rPr>
              <w:t>tzw.</w:t>
            </w:r>
            <w:r>
              <w:rPr>
                <w:color w:val="000000"/>
              </w:rPr>
              <w:t xml:space="preserve"> komfortka, dla osób dorosłych z niepełnosprawnościami. W przypadku remontu toalety należy zadbać o jej montaż. Na wydarzeniach plenerowych można wykorzystać plenerowe zestawy </w:t>
              <w:br/>
              <w:t>z komfortkami.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Wcześniej widnieje informacja, że „język powinien być obrazem świata, w jakim chcemy funkcjonować", a w dalszej części podręcznika przeważają formy męskie. Uważam, że można je zmienić na formy osobatywów – np. osoby odwiedzające instytucję zamiast klienci, osoba tłumacząca zamiast tłumacza. Pomijanie form żeńskich w takich oficjalnych dokumentach również kształtuje nierówny, mniej włączający wizerunek świata.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tr</w:t>
            </w:r>
            <w:r>
              <w:rPr>
                <w:color w:val="000000"/>
                <w:sz w:val="22"/>
                <w:szCs w:val="22"/>
              </w:rPr>
              <w:t>ona</w:t>
            </w:r>
            <w:r>
              <w:rPr>
                <w:color w:val="000000"/>
                <w:sz w:val="22"/>
                <w:szCs w:val="22"/>
              </w:rPr>
              <w:t xml:space="preserve"> 4 Tu można wspomnieć jeszcze o aplikacjach na smartfony typu text-to-speech oraz o karcie kontaktu z osobą g/Głuchą. 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78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Może warto też zaznaczyć, jaka jest różnica między głuchymi </w:t>
              <w:br/>
              <w:t>i Głuchymi, aby osoby niezaznajomione z tematyką dowiedziały się, skąd bierze się ten nietypowy zapis.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 4 </w:t>
            </w:r>
            <w:r>
              <w:rPr>
                <w:color w:val="000000"/>
                <w:sz w:val="22"/>
                <w:szCs w:val="22"/>
              </w:rPr>
              <w:t xml:space="preserve">W tym punkcie można dodać osoby z problemami </w:t>
              <w:br/>
              <w:t xml:space="preserve">w poruszaniu </w:t>
            </w:r>
            <w:r>
              <w:rPr>
                <w:color w:val="000000"/>
                <w:sz w:val="22"/>
                <w:szCs w:val="22"/>
              </w:rPr>
              <w:t>się.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/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 xml:space="preserve">ona </w:t>
            </w:r>
            <w:r>
              <w:rPr>
                <w:sz w:val="22"/>
                <w:szCs w:val="22"/>
              </w:rPr>
              <w:t xml:space="preserve">19. </w:t>
            </w: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u ważny punkt, aby zapewnić oświetlenie osoby tłumaczącej na PJM nawet gdy puszczany jest film, a w sali jest ciemno.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81</w:t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Czarnodruk opisów na wystawie </w:t>
              <w:br/>
              <w:t xml:space="preserve">w formie zebranej i zbindowanej książeczki umieszczonej </w:t>
              <w:br/>
              <w:t>w przestrzeni wystawy, oznaczonej ikonką przekreślonego oka.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82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Dodatkowo umieść na wystawie książkę z opisami </w:t>
              <w:br/>
              <w:t>w alfabecie Braille'a.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nie </w:t>
            </w: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Alfabet Braille’a jest umiejętnością zanikającą, zastępowaną innymi rozwiązaniami technicznymi. Na s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tronie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24 Podręcznika zaproponowano rozwiązania w formie: pomocy dotykowych </w:t>
              <w:br/>
              <w:t>i audiodeskrypcji.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tabs>
                <w:tab w:val="clear" w:pos="720"/>
                <w:tab w:val="left" w:pos="285" w:leader="none"/>
              </w:tabs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 24 - </w:t>
            </w:r>
            <w:r>
              <w:rPr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ub w formie kodów QR umieszczonych w przestrzeni wystawy.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84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Jeśli praca wideo zawiera powtarzające się ciągłe dźwięki</w:t>
              <w:br/>
              <w:t xml:space="preserve"> i brak dialogów, zamiast napisów można przygotować opis dźwięku pracy – umieścić go obok pracy</w:t>
              <w:br/>
              <w:t xml:space="preserve"> i oznaczyć ikonką głośnika. Gdy praca nie ma dźwięku należy również oznaczyć to w opisie.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85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Jeśli praca ma wyłącznie formę audio, należy przygotować opis dźwięku i umieścić go obok pracy </w:t>
              <w:br/>
              <w:t xml:space="preserve">i oznaczyć ikonką głośnika oraz ewentualną transkrypcję, jeśli </w:t>
              <w:br/>
              <w:t>w pracy występują dialogi.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95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86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Dobrze, żeby znalazły się informacje dotyczące współpracy </w:t>
              <w:br/>
              <w:t>z tłumaczkami, np. żeby tłumaczka miała odsłuch przy tłumaczeniu wyświetlanego filmu. Zwiększać świadomość – że wynajęcie tłumacza nie zwiększa dostępności, że trzeba zapewnić właściwe miejsce, że tłumacz potrzebuje odpowiednich warunków.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Szczegółowe informacje na temat wymagań dla tłumacza języka migowego znalazły się w Podręczniku, zostaną one uzupełnione </w:t>
              <w:br/>
              <w:t xml:space="preserve">o </w:t>
            </w:r>
            <w:r>
              <w:rPr>
                <w:rFonts w:eastAsia="Times New Roman" w:cs="Times New Roman"/>
                <w:sz w:val="22"/>
                <w:szCs w:val="22"/>
              </w:rPr>
              <w:t>wskazane w uwadze aspekty.</w:t>
            </w:r>
          </w:p>
        </w:tc>
      </w:tr>
      <w:tr>
        <w:trPr>
          <w:trHeight w:val="1132" w:hRule="atLeast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87</w:t>
            </w:r>
          </w:p>
        </w:tc>
        <w:tc>
          <w:tcPr>
            <w:tcW w:w="3581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Znajomość zasad dostępności powinna dotyczyć też pracowników, którzy są okazjonalnie, instruktorów, którzy wpadają </w:t>
              <w:br/>
              <w:t>i wypadają na zajęcia, są gościnnie (np. audiodeskrypcja, czy zachowanie przy tłumaczeniu PJM).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uwzględnion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</w:p>
        </w:tc>
        <w:tc>
          <w:tcPr>
            <w:tcW w:w="655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LO-normal"/>
              <w:widowControl w:val="false"/>
              <w:rPr>
                <w:rFonts w:ascii="Arial" w:hAnsi="Arial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LO-normal"/>
        <w:spacing w:lineRule="auto" w:line="240" w:before="240" w:after="240"/>
        <w:rPr/>
      </w:pPr>
      <w:r>
        <w:rPr/>
        <w:t xml:space="preserve">                              </w:t>
      </w:r>
    </w:p>
    <w:sectPr>
      <w:footerReference w:type="default" r:id="rId2"/>
      <w:type w:val="nextPage"/>
      <w:pgSz w:orient="landscape" w:w="16838" w:h="11906"/>
      <w:pgMar w:left="1440" w:right="1440" w:gutter="0" w:header="0" w:top="405" w:footer="193" w:bottom="956"/>
      <w:lnNumType w:countBy="5" w:restart="continuous" w:distance="28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opka"/>
      <w:jc w:val="left"/>
      <w:rPr/>
    </w:pPr>
    <w:r>
      <w:rPr/>
      <w:t xml:space="preserve">                                                                                        </w:t>
    </w:r>
  </w:p>
  <w:p>
    <w:pPr>
      <w:pStyle w:val="Stopka"/>
      <w:jc w:val="left"/>
      <w:rPr/>
    </w:pPr>
    <w:r>
      <w:rPr/>
      <w:t xml:space="preserve">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/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O-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uppressAutoHyphens w:val="true"/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kern w:val="0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Arial"/>
      <w:color w:val="000000"/>
      <w:kern w:val="0"/>
      <w:sz w:val="24"/>
      <w:szCs w:val="22"/>
      <w:lang w:val="pl-PL" w:eastAsia="zh-CN" w:bidi="hi-IN"/>
    </w:rPr>
  </w:style>
  <w:style w:type="paragraph" w:styleId="Gwka">
    <w:name w:val="Header"/>
    <w:basedOn w:val="Gwkaistopka"/>
    <w:pPr>
      <w:suppressLineNumbers/>
      <w:tabs>
        <w:tab w:val="clear" w:pos="4513"/>
        <w:tab w:val="clear" w:pos="9026"/>
        <w:tab w:val="center" w:pos="6979" w:leader="none"/>
        <w:tab w:val="right" w:pos="13958" w:leader="none"/>
      </w:tabs>
    </w:pPr>
    <w:rPr/>
  </w:style>
  <w:style w:type="numbering" w:styleId="Numeracja123">
    <w:name w:val="Numeracja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1141</TotalTime>
  <Application>LibreOffice/7.5.2.2$Windows_X86_64 LibreOffice_project/53bb9681a964705cf672590721dbc85eb4d0c3a2</Application>
  <AppVersion>15.0000</AppVersion>
  <Pages>20</Pages>
  <Words>4069</Words>
  <Characters>26722</Characters>
  <CharactersWithSpaces>30851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2022-11-18T14:06:00Z</dcterms:created>
  <dc:creator>Władysław Baksza</dc:creator>
  <dc:description/>
  <dc:language>pl-PL</dc:language>
  <cp:lastModifiedBy/>
  <cp:lastPrinted>2023-06-13T12:49:59Z</cp:lastPrinted>
  <dcterms:modified xsi:type="dcterms:W3CDTF">2023-06-27T11:44:04Z</dcterms:modified>
  <cp:revision>114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