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agwek5"/>
        <w:numPr>
          <w:ilvl w:val="0"/>
          <w:numId w:val="0"/>
        </w:numPr>
        <w:ind w:left="0" w:right="113" w:hanging="0"/>
        <w:jc w:val="center"/>
        <w:rPr>
          <w:sz w:val="26"/>
          <w:szCs w:val="26"/>
        </w:rPr>
      </w:pPr>
      <w:r>
        <w:rPr>
          <w:sz w:val="26"/>
          <w:szCs w:val="26"/>
        </w:rPr>
      </w:r>
    </w:p>
    <w:p>
      <w:pPr>
        <w:pStyle w:val="Nagwek5"/>
        <w:numPr>
          <w:ilvl w:val="0"/>
          <w:numId w:val="0"/>
        </w:numPr>
        <w:ind w:left="0" w:right="113" w:hanging="0"/>
        <w:jc w:val="center"/>
        <w:rPr>
          <w:sz w:val="26"/>
          <w:szCs w:val="26"/>
        </w:rPr>
      </w:pPr>
      <w:r>
        <w:rPr>
          <w:sz w:val="26"/>
          <w:szCs w:val="26"/>
        </w:rPr>
      </w:r>
    </w:p>
    <w:p>
      <w:pPr>
        <w:pStyle w:val="Nagwek5"/>
        <w:numPr>
          <w:ilvl w:val="0"/>
          <w:numId w:val="0"/>
        </w:numPr>
        <w:ind w:left="0" w:right="113" w:hanging="0"/>
        <w:jc w:val="center"/>
        <w:rPr>
          <w:sz w:val="26"/>
          <w:szCs w:val="26"/>
        </w:rPr>
      </w:pPr>
      <w:r>
        <w:rPr>
          <w:sz w:val="26"/>
          <w:szCs w:val="26"/>
        </w:rPr>
        <w:t>Wykaz zmian danych ewidencyjnych dla budynku</w:t>
      </w:r>
    </w:p>
    <w:p>
      <w:pPr>
        <w:pStyle w:val="Normal"/>
        <w:spacing w:lineRule="auto" w:line="276"/>
        <w:ind w:left="0" w:right="113" w:hanging="0"/>
        <w:jc w:val="center"/>
        <w:rPr>
          <w:rFonts w:ascii="Arial" w:hAnsi="Arial" w:cs="Arial"/>
          <w:b/>
          <w:b/>
          <w:i w:val="false"/>
          <w:i w:val="false"/>
          <w:strike w:val="false"/>
          <w:dstrike w:val="false"/>
          <w:outline w:val="false"/>
          <w:shadow w:val="false"/>
          <w:color w:val="000000"/>
          <w:sz w:val="26"/>
          <w:szCs w:val="26"/>
          <w:u w:val="none"/>
          <w:em w:val="none"/>
        </w:rPr>
      </w:pPr>
      <w:r>
        <w:rPr>
          <w:rFonts w:cs="Arial" w:ascii="Arial" w:hAnsi="Arial"/>
          <w:b/>
          <w:i w:val="false"/>
          <w:strike w:val="false"/>
          <w:dstrike w:val="false"/>
          <w:outline w:val="false"/>
          <w:shadow w:val="false"/>
          <w:color w:val="000000"/>
          <w:sz w:val="26"/>
          <w:szCs w:val="26"/>
          <w:u w:val="none"/>
          <w:em w:val="none"/>
        </w:rPr>
      </w:r>
    </w:p>
    <w:p>
      <w:pPr>
        <w:pStyle w:val="Normal"/>
        <w:widowControl/>
        <w:suppressAutoHyphens w:val="true"/>
        <w:bidi w:val="0"/>
        <w:spacing w:lineRule="auto" w:line="360" w:before="0" w:after="0"/>
        <w:ind w:left="-907" w:right="113" w:hanging="0"/>
        <w:jc w:val="left"/>
        <w:rPr>
          <w:rFonts w:ascii="Arial" w:hAnsi="Arial" w:eastAsia="Times New Roman" w:cs="Arial"/>
          <w:b w:val="false"/>
          <w:b w:val="false"/>
          <w:bCs w:val="false"/>
          <w:i w:val="false"/>
          <w:i w:val="false"/>
          <w:strike w:val="false"/>
          <w:dstrike w:val="false"/>
          <w:outline w:val="false"/>
          <w:shadow w:val="false"/>
          <w:color w:val="auto"/>
          <w:sz w:val="22"/>
          <w:szCs w:val="22"/>
          <w:u w:val="none"/>
          <w:em w:val="none"/>
          <w:lang w:val="pl-PL" w:eastAsia="zh-CN" w:bidi="ar-SA"/>
        </w:rPr>
      </w:pPr>
      <w:r>
        <w:rPr>
          <w:rFonts w:eastAsia="Times New Roman" w:cs="Arial" w:ascii="Arial" w:hAnsi="Arial"/>
          <w:b w:val="false"/>
          <w:bCs w:val="false"/>
          <w:i w:val="false"/>
          <w:strike w:val="false"/>
          <w:dstrike w:val="false"/>
          <w:outline w:val="false"/>
          <w:shadow w:val="false"/>
          <w:color w:val="auto"/>
          <w:sz w:val="22"/>
          <w:szCs w:val="22"/>
          <w:u w:val="none"/>
          <w:em w:val="none"/>
          <w:lang w:val="pl-PL" w:eastAsia="zh-CN" w:bidi="ar-SA"/>
        </w:rPr>
        <w:t xml:space="preserve">Gmina </w:t>
      </w:r>
      <w:r>
        <w:rPr>
          <w:rFonts w:eastAsia="Times New Roman" w:cs="Arial" w:ascii="Arial" w:hAnsi="Arial"/>
          <w:b w:val="false"/>
          <w:bCs w:val="false"/>
          <w:i w:val="false"/>
          <w:strike w:val="false"/>
          <w:dstrike w:val="false"/>
          <w:outline w:val="false"/>
          <w:shadow w:val="false"/>
          <w:color w:val="auto"/>
          <w:sz w:val="22"/>
          <w:szCs w:val="22"/>
          <w:u w:val="none"/>
          <w:em w:val="none"/>
          <w:lang w:val="pl-PL" w:eastAsia="zh-CN" w:bidi="ar-SA"/>
        </w:rPr>
        <w:t>m. Lublin</w:t>
      </w:r>
    </w:p>
    <w:p>
      <w:pPr>
        <w:pStyle w:val="Normal"/>
        <w:widowControl/>
        <w:suppressAutoHyphens w:val="true"/>
        <w:bidi w:val="0"/>
        <w:spacing w:lineRule="auto" w:line="360" w:before="0" w:after="0"/>
        <w:ind w:left="-907" w:right="113" w:hanging="0"/>
        <w:jc w:val="left"/>
        <w:rPr>
          <w:rFonts w:ascii="Arial" w:hAnsi="Arial" w:eastAsia="Times New Roman" w:cs="Arial"/>
          <w:b w:val="false"/>
          <w:b w:val="false"/>
          <w:bCs w:val="false"/>
          <w:i w:val="false"/>
          <w:i w:val="false"/>
          <w:strike w:val="false"/>
          <w:dstrike w:val="false"/>
          <w:outline w:val="false"/>
          <w:shadow w:val="false"/>
          <w:color w:val="auto"/>
          <w:sz w:val="22"/>
          <w:szCs w:val="22"/>
          <w:u w:val="none"/>
          <w:em w:val="none"/>
          <w:lang w:val="pl-PL" w:eastAsia="zh-CN" w:bidi="ar-SA"/>
        </w:rPr>
      </w:pPr>
      <w:r>
        <w:rPr>
          <w:rFonts w:eastAsia="Times New Roman" w:cs="Arial" w:ascii="Arial" w:hAnsi="Arial"/>
          <w:b w:val="false"/>
          <w:bCs w:val="false"/>
          <w:i w:val="false"/>
          <w:strike w:val="false"/>
          <w:dstrike w:val="false"/>
          <w:outline w:val="false"/>
          <w:shadow w:val="false"/>
          <w:color w:val="auto"/>
          <w:sz w:val="22"/>
          <w:szCs w:val="22"/>
          <w:u w:val="none"/>
          <w:em w:val="none"/>
          <w:lang w:val="pl-PL" w:eastAsia="zh-CN" w:bidi="ar-SA"/>
        </w:rPr>
        <w:t>Obręb ……………………….</w:t>
      </w:r>
    </w:p>
    <w:p>
      <w:pPr>
        <w:pStyle w:val="Normal"/>
        <w:spacing w:lineRule="auto" w:line="360" w:before="0" w:after="0"/>
        <w:ind w:left="0" w:right="0" w:hanging="900"/>
        <w:rPr>
          <w:sz w:val="22"/>
          <w:szCs w:val="22"/>
        </w:rPr>
      </w:pPr>
      <w:r>
        <w:rPr>
          <w:rFonts w:cs="Arial" w:ascii="Arial" w:hAnsi="Arial"/>
          <w:sz w:val="22"/>
          <w:szCs w:val="22"/>
        </w:rPr>
        <w:t>Identyfikator budyn</w:t>
      </w:r>
      <w:r>
        <w:rPr>
          <w:rFonts w:cs="Arial" w:ascii="Arial" w:hAnsi="Arial"/>
          <w:sz w:val="22"/>
          <w:szCs w:val="22"/>
        </w:rPr>
        <w:t>ku</w:t>
      </w:r>
      <w:r>
        <w:rPr>
          <w:rFonts w:cs="Arial" w:ascii="Arial" w:hAnsi="Arial"/>
          <w:sz w:val="22"/>
          <w:szCs w:val="22"/>
        </w:rPr>
        <w:t xml:space="preserve"> .....................................................                </w:t>
      </w:r>
      <w:r>
        <w:rPr>
          <w:sz w:val="22"/>
          <w:szCs w:val="22"/>
        </w:rPr>
        <w:t xml:space="preserve">        </w:t>
      </w:r>
    </w:p>
    <w:p>
      <w:pPr>
        <w:pStyle w:val="Normal"/>
        <w:spacing w:lineRule="auto" w:line="360" w:before="0" w:after="0"/>
        <w:ind w:left="-900" w:right="0" w:hanging="0"/>
        <w:rPr>
          <w:sz w:val="22"/>
          <w:szCs w:val="22"/>
        </w:rPr>
      </w:pPr>
      <w:r>
        <w:rPr>
          <w:rFonts w:cs="Arial" w:ascii="Arial" w:hAnsi="Arial"/>
          <w:sz w:val="22"/>
          <w:szCs w:val="22"/>
        </w:rPr>
        <w:t>Identyfikator</w:t>
      </w:r>
      <w:r>
        <w:rPr>
          <w:rFonts w:cs="Arial" w:ascii="Arial" w:hAnsi="Arial"/>
          <w:sz w:val="22"/>
          <w:szCs w:val="22"/>
        </w:rPr>
        <w:t xml:space="preserve"> dział</w:t>
      </w:r>
      <w:r>
        <w:rPr>
          <w:rFonts w:cs="Arial" w:ascii="Arial" w:hAnsi="Arial"/>
          <w:sz w:val="22"/>
          <w:szCs w:val="22"/>
        </w:rPr>
        <w:t>ki</w:t>
      </w:r>
      <w:r>
        <w:rPr>
          <w:rFonts w:cs="Arial" w:ascii="Arial" w:hAnsi="Arial"/>
          <w:sz w:val="22"/>
          <w:szCs w:val="22"/>
        </w:rPr>
        <w:t xml:space="preserve"> ewidencyjn</w:t>
      </w:r>
      <w:r>
        <w:rPr>
          <w:rFonts w:cs="Arial" w:ascii="Arial" w:hAnsi="Arial"/>
          <w:sz w:val="22"/>
          <w:szCs w:val="22"/>
        </w:rPr>
        <w:t xml:space="preserve">ej </w:t>
      </w:r>
      <w:r>
        <w:rPr>
          <w:rFonts w:cs="Arial" w:ascii="Arial" w:hAnsi="Arial"/>
          <w:sz w:val="22"/>
          <w:szCs w:val="22"/>
        </w:rPr>
        <w:t>na któr</w:t>
      </w:r>
      <w:r>
        <w:rPr>
          <w:rFonts w:cs="Arial" w:ascii="Arial" w:hAnsi="Arial"/>
          <w:sz w:val="22"/>
          <w:szCs w:val="22"/>
        </w:rPr>
        <w:t>ej</w:t>
      </w:r>
      <w:r>
        <w:rPr>
          <w:rFonts w:cs="Arial" w:ascii="Arial" w:hAnsi="Arial"/>
          <w:sz w:val="22"/>
          <w:szCs w:val="22"/>
        </w:rPr>
        <w:t xml:space="preserve"> budynek </w:t>
      </w:r>
      <w:r>
        <w:rPr>
          <w:rFonts w:cs="Arial" w:ascii="Arial" w:hAnsi="Arial"/>
          <w:sz w:val="22"/>
          <w:szCs w:val="22"/>
        </w:rPr>
        <w:t xml:space="preserve">jest położony* </w:t>
      </w:r>
      <w:r>
        <w:rPr>
          <w:rFonts w:eastAsia="Times New Roman" w:cs="Arial" w:ascii="Arial" w:hAnsi="Arial"/>
          <w:color w:val="auto"/>
          <w:sz w:val="22"/>
          <w:szCs w:val="22"/>
          <w:lang w:val="pl-PL" w:eastAsia="zh-CN" w:bidi="ar-SA"/>
        </w:rPr>
        <w:t>…………….</w:t>
      </w:r>
    </w:p>
    <w:p>
      <w:pPr>
        <w:pStyle w:val="Normal"/>
        <w:spacing w:lineRule="auto" w:line="360" w:before="0" w:after="0"/>
        <w:ind w:left="0" w:right="0" w:hanging="900"/>
        <w:rPr>
          <w:rFonts w:ascii="Arial" w:hAnsi="Arial" w:eastAsia="Times New Roman" w:cs="Arial"/>
          <w:color w:val="auto"/>
          <w:sz w:val="22"/>
          <w:szCs w:val="22"/>
          <w:lang w:val="pl-PL" w:eastAsia="zh-CN" w:bidi="ar-SA"/>
        </w:rPr>
      </w:pPr>
      <w:r>
        <w:rPr>
          <w:rFonts w:eastAsia="Times New Roman" w:cs="Arial" w:ascii="Arial" w:hAnsi="Arial"/>
          <w:color w:val="auto"/>
          <w:sz w:val="22"/>
          <w:szCs w:val="22"/>
          <w:lang w:val="pl-PL" w:eastAsia="zh-CN" w:bidi="ar-SA"/>
        </w:rPr>
        <w:t xml:space="preserve">Adres budynku: Lublin, ul.......................................                                              </w:t>
      </w:r>
    </w:p>
    <w:p>
      <w:pPr>
        <w:pStyle w:val="Normal"/>
        <w:jc w:val="right"/>
        <w:rPr>
          <w:rFonts w:ascii="Arial" w:hAnsi="Arial" w:cs="Arial"/>
          <w:sz w:val="22"/>
          <w:szCs w:val="22"/>
        </w:rPr>
      </w:pPr>
      <w:r>
        <w:rPr>
          <w:rFonts w:cs="Arial" w:ascii="Arial" w:hAnsi="Arial"/>
          <w:sz w:val="22"/>
          <w:szCs w:val="22"/>
        </w:rPr>
      </w:r>
    </w:p>
    <w:p>
      <w:pPr>
        <w:pStyle w:val="Normal"/>
        <w:jc w:val="right"/>
        <w:rPr>
          <w:rFonts w:ascii="Arial" w:hAnsi="Arial" w:cs="Arial"/>
          <w:sz w:val="22"/>
          <w:szCs w:val="22"/>
        </w:rPr>
      </w:pPr>
      <w:r>
        <w:rPr>
          <w:rFonts w:cs="Arial" w:ascii="Arial" w:hAnsi="Arial"/>
          <w:sz w:val="22"/>
          <w:szCs w:val="22"/>
        </w:rPr>
      </w:r>
    </w:p>
    <w:p>
      <w:pPr>
        <w:pStyle w:val="Normal"/>
        <w:jc w:val="right"/>
        <w:rPr>
          <w:rFonts w:ascii="Arial" w:hAnsi="Arial" w:cs="Arial"/>
          <w:sz w:val="22"/>
          <w:szCs w:val="22"/>
        </w:rPr>
      </w:pPr>
      <w:r>
        <w:rPr>
          <w:rFonts w:cs="Arial" w:ascii="Arial" w:hAnsi="Arial"/>
          <w:sz w:val="22"/>
          <w:szCs w:val="22"/>
        </w:rPr>
      </w:r>
    </w:p>
    <w:tbl>
      <w:tblPr>
        <w:tblW w:w="11169" w:type="dxa"/>
        <w:jc w:val="left"/>
        <w:tblInd w:w="-1097" w:type="dxa"/>
        <w:tblLayout w:type="fixed"/>
        <w:tblCellMar>
          <w:top w:w="0" w:type="dxa"/>
          <w:left w:w="70" w:type="dxa"/>
          <w:bottom w:w="0" w:type="dxa"/>
          <w:right w:w="70" w:type="dxa"/>
        </w:tblCellMar>
      </w:tblPr>
      <w:tblGrid>
        <w:gridCol w:w="3570"/>
        <w:gridCol w:w="3721"/>
        <w:gridCol w:w="3878"/>
      </w:tblGrid>
      <w:tr>
        <w:trPr>
          <w:trHeight w:val="208" w:hRule="atLeast"/>
        </w:trPr>
        <w:tc>
          <w:tcPr>
            <w:tcW w:w="3570" w:type="dxa"/>
            <w:tcBorders>
              <w:top w:val="single" w:sz="8" w:space="0" w:color="000000"/>
              <w:left w:val="single" w:sz="8" w:space="0" w:color="000000"/>
              <w:bottom w:val="single" w:sz="8" w:space="0" w:color="000000"/>
            </w:tcBorders>
            <w:vAlign w:val="center"/>
          </w:tcPr>
          <w:p>
            <w:pPr>
              <w:pStyle w:val="Normal"/>
              <w:snapToGrid w:val="false"/>
              <w:jc w:val="center"/>
              <w:rPr>
                <w:rFonts w:ascii="Arial" w:hAnsi="Arial" w:cs="Arial"/>
                <w:sz w:val="20"/>
                <w:szCs w:val="20"/>
              </w:rPr>
            </w:pPr>
            <w:r>
              <w:rPr>
                <w:rFonts w:cs="Arial" w:ascii="Arial" w:hAnsi="Arial"/>
                <w:sz w:val="20"/>
                <w:szCs w:val="20"/>
              </w:rPr>
              <w:t>Oznaczenie atrybutu</w:t>
            </w:r>
          </w:p>
        </w:tc>
        <w:tc>
          <w:tcPr>
            <w:tcW w:w="3721" w:type="dxa"/>
            <w:tcBorders>
              <w:top w:val="single" w:sz="8" w:space="0" w:color="000000"/>
              <w:left w:val="single" w:sz="8" w:space="0" w:color="000000"/>
              <w:bottom w:val="single" w:sz="8" w:space="0" w:color="000000"/>
            </w:tcBorders>
            <w:vAlign w:val="center"/>
          </w:tcPr>
          <w:p>
            <w:pPr>
              <w:pStyle w:val="Nagwek1"/>
              <w:snapToGrid w:val="false"/>
              <w:ind w:left="432" w:right="0" w:hanging="432"/>
              <w:jc w:val="center"/>
              <w:rPr>
                <w:rFonts w:cs="Arial"/>
                <w:sz w:val="20"/>
                <w:szCs w:val="20"/>
              </w:rPr>
            </w:pPr>
            <w:r>
              <w:rPr>
                <w:rFonts w:cs="Arial"/>
                <w:sz w:val="20"/>
                <w:szCs w:val="20"/>
              </w:rPr>
              <w:t>Stan dotychczasowy</w:t>
            </w:r>
          </w:p>
        </w:tc>
        <w:tc>
          <w:tcPr>
            <w:tcW w:w="3878" w:type="dxa"/>
            <w:tcBorders>
              <w:top w:val="single" w:sz="8" w:space="0" w:color="000000"/>
              <w:left w:val="single" w:sz="8" w:space="0" w:color="000000"/>
              <w:bottom w:val="single" w:sz="8" w:space="0" w:color="000000"/>
              <w:right w:val="single" w:sz="8" w:space="0" w:color="000000"/>
            </w:tcBorders>
            <w:vAlign w:val="center"/>
          </w:tcPr>
          <w:p>
            <w:pPr>
              <w:pStyle w:val="Nagwek1"/>
              <w:snapToGrid w:val="false"/>
              <w:ind w:left="432" w:right="0" w:hanging="432"/>
              <w:jc w:val="center"/>
              <w:rPr>
                <w:rFonts w:cs="Arial"/>
                <w:sz w:val="20"/>
                <w:szCs w:val="20"/>
              </w:rPr>
            </w:pPr>
            <w:r>
              <w:rPr>
                <w:rFonts w:cs="Arial"/>
                <w:sz w:val="20"/>
                <w:szCs w:val="20"/>
              </w:rPr>
              <w:t>S</w:t>
            </w:r>
            <w:r>
              <w:rPr>
                <w:rFonts w:cs="Arial"/>
                <w:sz w:val="20"/>
                <w:szCs w:val="20"/>
              </w:rPr>
              <w:t>tan nowy</w:t>
            </w:r>
          </w:p>
        </w:tc>
      </w:tr>
      <w:tr>
        <w:trPr>
          <w:trHeight w:val="283" w:hRule="atLeast"/>
        </w:trPr>
        <w:tc>
          <w:tcPr>
            <w:tcW w:w="3570" w:type="dxa"/>
            <w:tcBorders>
              <w:top w:val="single" w:sz="4" w:space="0" w:color="000000"/>
              <w:left w:val="single" w:sz="4" w:space="0" w:color="000000"/>
              <w:bottom w:val="single" w:sz="4" w:space="0" w:color="000000"/>
            </w:tcBorders>
            <w:vAlign w:val="center"/>
          </w:tcPr>
          <w:p>
            <w:pPr>
              <w:pStyle w:val="Normal"/>
              <w:snapToGrid w:val="false"/>
              <w:rPr>
                <w:rFonts w:ascii="Arial" w:hAnsi="Arial" w:cs="Arial"/>
                <w:b w:val="false"/>
                <w:b w:val="false"/>
                <w:i w:val="false"/>
                <w:i w:val="false"/>
                <w:strike w:val="false"/>
                <w:dstrike w:val="false"/>
                <w:outline w:val="false"/>
                <w:shadow w:val="false"/>
                <w:color w:val="000000"/>
                <w:sz w:val="20"/>
                <w:szCs w:val="20"/>
                <w:u w:val="none"/>
                <w:em w:val="none"/>
              </w:rPr>
            </w:pPr>
            <w:r>
              <w:rPr>
                <w:rFonts w:cs="Arial" w:ascii="Arial" w:hAnsi="Arial"/>
                <w:b w:val="false"/>
                <w:i w:val="false"/>
                <w:strike w:val="false"/>
                <w:dstrike w:val="false"/>
                <w:outline w:val="false"/>
                <w:shadow w:val="false"/>
                <w:color w:val="000000"/>
                <w:sz w:val="20"/>
                <w:szCs w:val="20"/>
                <w:u w:val="none"/>
                <w:em w:val="none"/>
              </w:rPr>
              <w:t>Rodzaj budynku według KŚT=kod**</w:t>
            </w:r>
          </w:p>
          <w:p>
            <w:pPr>
              <w:pStyle w:val="Normal"/>
              <w:snapToGrid w:val="false"/>
              <w:rPr>
                <w:rFonts w:ascii="Arial" w:hAnsi="Arial" w:cs="Arial"/>
                <w:sz w:val="20"/>
                <w:szCs w:val="20"/>
              </w:rPr>
            </w:pPr>
            <w:r>
              <w:rPr>
                <w:rFonts w:cs="Arial" w:ascii="Arial" w:hAnsi="Arial"/>
                <w:sz w:val="20"/>
                <w:szCs w:val="20"/>
              </w:rPr>
            </w:r>
          </w:p>
        </w:tc>
        <w:tc>
          <w:tcPr>
            <w:tcW w:w="3721" w:type="dxa"/>
            <w:tcBorders>
              <w:top w:val="single" w:sz="4" w:space="0" w:color="000000"/>
              <w:left w:val="single" w:sz="4" w:space="0" w:color="000000"/>
              <w:bottom w:val="single" w:sz="4" w:space="0" w:color="000000"/>
            </w:tcBorders>
          </w:tcPr>
          <w:p>
            <w:pPr>
              <w:pStyle w:val="Normal"/>
              <w:snapToGrid w:val="false"/>
              <w:rPr>
                <w:rFonts w:ascii="Arial" w:hAnsi="Arial" w:cs="Arial"/>
                <w:sz w:val="20"/>
                <w:szCs w:val="20"/>
              </w:rPr>
            </w:pPr>
            <w:r>
              <w:rPr>
                <w:rFonts w:cs="Arial" w:ascii="Arial" w:hAnsi="Arial"/>
                <w:sz w:val="20"/>
                <w:szCs w:val="20"/>
              </w:rPr>
            </w:r>
          </w:p>
        </w:tc>
        <w:tc>
          <w:tcPr>
            <w:tcW w:w="3878"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20"/>
                <w:szCs w:val="20"/>
              </w:rPr>
            </w:pPr>
            <w:r>
              <w:rPr>
                <w:rFonts w:cs="Arial" w:ascii="Arial" w:hAnsi="Arial"/>
                <w:sz w:val="20"/>
                <w:szCs w:val="20"/>
              </w:rPr>
            </w:r>
          </w:p>
        </w:tc>
      </w:tr>
      <w:tr>
        <w:trPr>
          <w:trHeight w:val="283" w:hRule="atLeast"/>
        </w:trPr>
        <w:tc>
          <w:tcPr>
            <w:tcW w:w="3570" w:type="dxa"/>
            <w:tcBorders>
              <w:left w:val="single" w:sz="4" w:space="0" w:color="000000"/>
              <w:bottom w:val="single" w:sz="4" w:space="0" w:color="000000"/>
            </w:tcBorders>
            <w:vAlign w:val="center"/>
          </w:tcPr>
          <w:p>
            <w:pPr>
              <w:pStyle w:val="Normal"/>
              <w:snapToGrid w:val="false"/>
              <w:rPr>
                <w:rFonts w:ascii="Arial" w:hAnsi="Arial" w:cs="Arial"/>
                <w:sz w:val="20"/>
                <w:szCs w:val="20"/>
              </w:rPr>
            </w:pPr>
            <w:r>
              <w:rPr>
                <w:rFonts w:cs="Arial" w:ascii="Arial" w:hAnsi="Arial"/>
                <w:sz w:val="20"/>
                <w:szCs w:val="20"/>
              </w:rPr>
              <w:t>Liczba kondygnacji na</w:t>
            </w:r>
            <w:r>
              <w:rPr>
                <w:rFonts w:cs="Arial" w:ascii="Arial" w:hAnsi="Arial"/>
                <w:sz w:val="20"/>
                <w:szCs w:val="20"/>
              </w:rPr>
              <w:t>d</w:t>
            </w:r>
            <w:r>
              <w:rPr>
                <w:rFonts w:cs="Arial" w:ascii="Arial" w:hAnsi="Arial"/>
                <w:sz w:val="20"/>
                <w:szCs w:val="20"/>
              </w:rPr>
              <w:t>ziemnych / podziemnych</w:t>
            </w:r>
          </w:p>
        </w:tc>
        <w:tc>
          <w:tcPr>
            <w:tcW w:w="3721" w:type="dxa"/>
            <w:tcBorders>
              <w:left w:val="single" w:sz="4" w:space="0" w:color="000000"/>
              <w:bottom w:val="single" w:sz="4" w:space="0" w:color="000000"/>
            </w:tcBorders>
          </w:tcPr>
          <w:p>
            <w:pPr>
              <w:pStyle w:val="Normal"/>
              <w:snapToGrid w:val="false"/>
              <w:jc w:val="center"/>
              <w:rPr>
                <w:rFonts w:ascii="Arial" w:hAnsi="Arial" w:cs="Arial"/>
                <w:sz w:val="20"/>
                <w:szCs w:val="20"/>
              </w:rPr>
            </w:pPr>
            <w:r>
              <w:rPr>
                <w:rFonts w:cs="Arial" w:ascii="Arial" w:hAnsi="Arial"/>
                <w:sz w:val="20"/>
                <w:szCs w:val="20"/>
              </w:rPr>
              <w:t>/</w:t>
            </w:r>
          </w:p>
        </w:tc>
        <w:tc>
          <w:tcPr>
            <w:tcW w:w="3878" w:type="dxa"/>
            <w:tcBorders>
              <w:left w:val="single" w:sz="4" w:space="0" w:color="000000"/>
              <w:bottom w:val="single" w:sz="4" w:space="0" w:color="000000"/>
              <w:right w:val="single" w:sz="4" w:space="0" w:color="000000"/>
            </w:tcBorders>
          </w:tcPr>
          <w:p>
            <w:pPr>
              <w:pStyle w:val="Normal"/>
              <w:snapToGrid w:val="false"/>
              <w:jc w:val="center"/>
              <w:rPr>
                <w:rFonts w:ascii="Arial" w:hAnsi="Arial" w:cs="Arial"/>
                <w:sz w:val="20"/>
                <w:szCs w:val="20"/>
              </w:rPr>
            </w:pPr>
            <w:r>
              <w:rPr>
                <w:rFonts w:cs="Arial" w:ascii="Arial" w:hAnsi="Arial"/>
                <w:sz w:val="20"/>
                <w:szCs w:val="20"/>
              </w:rPr>
              <w:t>/</w:t>
            </w:r>
          </w:p>
        </w:tc>
      </w:tr>
      <w:tr>
        <w:trPr>
          <w:trHeight w:val="283" w:hRule="atLeast"/>
        </w:trPr>
        <w:tc>
          <w:tcPr>
            <w:tcW w:w="3570" w:type="dxa"/>
            <w:tcBorders>
              <w:left w:val="single" w:sz="4" w:space="0" w:color="000000"/>
              <w:bottom w:val="single" w:sz="4" w:space="0" w:color="000000"/>
            </w:tcBorders>
            <w:vAlign w:val="center"/>
          </w:tcPr>
          <w:p>
            <w:pPr>
              <w:pStyle w:val="Normal"/>
              <w:snapToGrid w:val="false"/>
              <w:rPr>
                <w:rFonts w:ascii="Arial" w:hAnsi="Arial" w:cs="Arial"/>
                <w:sz w:val="20"/>
                <w:szCs w:val="20"/>
              </w:rPr>
            </w:pPr>
            <w:r>
              <w:rPr>
                <w:rFonts w:cs="Arial" w:ascii="Arial" w:hAnsi="Arial"/>
                <w:sz w:val="20"/>
                <w:szCs w:val="20"/>
              </w:rPr>
              <w:t>Pole powierzchni zabudowy</w:t>
            </w:r>
          </w:p>
        </w:tc>
        <w:tc>
          <w:tcPr>
            <w:tcW w:w="3721" w:type="dxa"/>
            <w:tcBorders>
              <w:left w:val="single" w:sz="4" w:space="0" w:color="000000"/>
              <w:bottom w:val="single" w:sz="4" w:space="0" w:color="000000"/>
            </w:tcBorders>
          </w:tcPr>
          <w:p>
            <w:pPr>
              <w:pStyle w:val="Normal"/>
              <w:snapToGrid w:val="false"/>
              <w:rPr>
                <w:rFonts w:ascii="Arial" w:hAnsi="Arial" w:cs="Arial"/>
                <w:sz w:val="20"/>
                <w:szCs w:val="20"/>
              </w:rPr>
            </w:pPr>
            <w:r>
              <w:rPr>
                <w:rFonts w:cs="Arial" w:ascii="Arial" w:hAnsi="Arial"/>
                <w:sz w:val="20"/>
                <w:szCs w:val="20"/>
              </w:rPr>
            </w:r>
          </w:p>
        </w:tc>
        <w:tc>
          <w:tcPr>
            <w:tcW w:w="3878" w:type="dxa"/>
            <w:tcBorders>
              <w:left w:val="single" w:sz="4" w:space="0" w:color="000000"/>
              <w:bottom w:val="single" w:sz="4" w:space="0" w:color="000000"/>
              <w:right w:val="single" w:sz="4" w:space="0" w:color="000000"/>
            </w:tcBorders>
          </w:tcPr>
          <w:p>
            <w:pPr>
              <w:pStyle w:val="Normal"/>
              <w:snapToGrid w:val="false"/>
              <w:rPr>
                <w:rFonts w:ascii="Arial" w:hAnsi="Arial" w:cs="Arial"/>
                <w:sz w:val="20"/>
                <w:szCs w:val="20"/>
              </w:rPr>
            </w:pPr>
            <w:r>
              <w:rPr>
                <w:rFonts w:cs="Arial" w:ascii="Arial" w:hAnsi="Arial"/>
                <w:sz w:val="20"/>
                <w:szCs w:val="20"/>
              </w:rPr>
            </w:r>
          </w:p>
        </w:tc>
      </w:tr>
      <w:tr>
        <w:trPr>
          <w:trHeight w:val="283" w:hRule="atLeast"/>
        </w:trPr>
        <w:tc>
          <w:tcPr>
            <w:tcW w:w="3570" w:type="dxa"/>
            <w:tcBorders>
              <w:left w:val="single" w:sz="4" w:space="0" w:color="000000"/>
              <w:bottom w:val="single" w:sz="4" w:space="0" w:color="000000"/>
            </w:tcBorders>
            <w:vAlign w:val="center"/>
          </w:tcPr>
          <w:p>
            <w:pPr>
              <w:pStyle w:val="Normal"/>
              <w:snapToGrid w:val="false"/>
              <w:rPr>
                <w:rFonts w:ascii="Arial" w:hAnsi="Arial" w:eastAsia="Times New Roman" w:cs="Arial"/>
                <w:color w:val="auto"/>
                <w:sz w:val="20"/>
                <w:szCs w:val="20"/>
                <w:lang w:val="pl-PL" w:eastAsia="zh-CN" w:bidi="ar-SA"/>
              </w:rPr>
            </w:pPr>
            <w:r>
              <w:rPr>
                <w:rFonts w:eastAsia="Times New Roman" w:cs="Arial" w:ascii="Arial" w:hAnsi="Arial"/>
                <w:color w:val="auto"/>
                <w:sz w:val="20"/>
                <w:szCs w:val="20"/>
                <w:lang w:val="pl-PL" w:eastAsia="zh-CN" w:bidi="ar-SA"/>
              </w:rPr>
              <w:t xml:space="preserve">Numer księgi wieczystej </w:t>
            </w:r>
            <w:r>
              <w:rPr>
                <w:rFonts w:eastAsia="Times New Roman" w:cs="Arial" w:ascii="Arial" w:hAnsi="Arial"/>
                <w:b/>
                <w:bCs/>
                <w:color w:val="auto"/>
                <w:sz w:val="20"/>
                <w:szCs w:val="20"/>
                <w:lang w:val="pl-PL" w:eastAsia="zh-CN" w:bidi="ar-SA"/>
              </w:rPr>
              <w:t>(dla budynków stanowiący odrębny od gruntu przedmiot własności)</w:t>
            </w:r>
            <w:r>
              <w:rPr>
                <w:rFonts w:eastAsia="Times New Roman" w:cs="Arial" w:ascii="Arial" w:hAnsi="Arial"/>
                <w:color w:val="auto"/>
                <w:sz w:val="20"/>
                <w:szCs w:val="20"/>
                <w:lang w:val="pl-PL" w:eastAsia="zh-CN" w:bidi="ar-SA"/>
              </w:rPr>
              <w:t xml:space="preserve"> </w:t>
            </w:r>
          </w:p>
        </w:tc>
        <w:tc>
          <w:tcPr>
            <w:tcW w:w="3721" w:type="dxa"/>
            <w:tcBorders>
              <w:left w:val="single" w:sz="4" w:space="0" w:color="000000"/>
              <w:bottom w:val="single" w:sz="4" w:space="0" w:color="000000"/>
            </w:tcBorders>
          </w:tcPr>
          <w:p>
            <w:pPr>
              <w:pStyle w:val="Normal"/>
              <w:snapToGrid w:val="false"/>
              <w:rPr>
                <w:rFonts w:ascii="Arial" w:hAnsi="Arial" w:cs="Arial"/>
                <w:sz w:val="20"/>
                <w:szCs w:val="20"/>
              </w:rPr>
            </w:pPr>
            <w:r>
              <w:rPr>
                <w:rFonts w:cs="Arial" w:ascii="Arial" w:hAnsi="Arial"/>
                <w:sz w:val="20"/>
                <w:szCs w:val="20"/>
              </w:rPr>
            </w:r>
          </w:p>
        </w:tc>
        <w:tc>
          <w:tcPr>
            <w:tcW w:w="3878" w:type="dxa"/>
            <w:tcBorders>
              <w:left w:val="single" w:sz="4" w:space="0" w:color="000000"/>
              <w:bottom w:val="single" w:sz="4" w:space="0" w:color="000000"/>
              <w:right w:val="single" w:sz="4" w:space="0" w:color="000000"/>
            </w:tcBorders>
          </w:tcPr>
          <w:p>
            <w:pPr>
              <w:pStyle w:val="Normal"/>
              <w:snapToGrid w:val="false"/>
              <w:rPr>
                <w:rFonts w:ascii="Arial" w:hAnsi="Arial" w:cs="Arial"/>
                <w:sz w:val="20"/>
                <w:szCs w:val="20"/>
              </w:rPr>
            </w:pPr>
            <w:r>
              <w:rPr>
                <w:rFonts w:cs="Arial" w:ascii="Arial" w:hAnsi="Arial"/>
                <w:sz w:val="20"/>
                <w:szCs w:val="20"/>
              </w:rPr>
            </w:r>
          </w:p>
        </w:tc>
      </w:tr>
      <w:tr>
        <w:trPr>
          <w:trHeight w:val="283" w:hRule="atLeast"/>
        </w:trPr>
        <w:tc>
          <w:tcPr>
            <w:tcW w:w="3570" w:type="dxa"/>
            <w:tcBorders>
              <w:left w:val="single" w:sz="4" w:space="0" w:color="000000"/>
              <w:bottom w:val="single" w:sz="4" w:space="0" w:color="000000"/>
            </w:tcBorders>
            <w:vAlign w:val="center"/>
          </w:tcPr>
          <w:p>
            <w:pPr>
              <w:pStyle w:val="Normal"/>
              <w:snapToGrid w:val="false"/>
              <w:rPr>
                <w:rFonts w:ascii="Arial" w:hAnsi="Arial" w:eastAsia="Times New Roman" w:cs="Arial"/>
                <w:color w:val="auto"/>
                <w:sz w:val="20"/>
                <w:szCs w:val="20"/>
                <w:lang w:val="pl-PL" w:eastAsia="zh-CN" w:bidi="ar-SA"/>
              </w:rPr>
            </w:pPr>
            <w:r>
              <w:rPr>
                <w:rFonts w:eastAsia="Times New Roman" w:cs="Arial" w:ascii="Arial" w:hAnsi="Arial"/>
                <w:color w:val="auto"/>
                <w:sz w:val="20"/>
                <w:szCs w:val="20"/>
                <w:lang w:val="pl-PL" w:eastAsia="zh-CN" w:bidi="ar-SA"/>
              </w:rPr>
              <w:t xml:space="preserve">Oznaczenie jednostki rejestrowej budynków </w:t>
            </w:r>
            <w:r>
              <w:rPr>
                <w:rFonts w:eastAsia="Times New Roman" w:cs="Arial" w:ascii="Arial" w:hAnsi="Arial"/>
                <w:b/>
                <w:bCs/>
                <w:color w:val="auto"/>
                <w:sz w:val="20"/>
                <w:szCs w:val="20"/>
                <w:lang w:val="pl-PL" w:eastAsia="zh-CN" w:bidi="ar-SA"/>
              </w:rPr>
              <w:t>(dla budynków stanowiący odrębny od gruntu przedmiot własności)</w:t>
            </w:r>
          </w:p>
        </w:tc>
        <w:tc>
          <w:tcPr>
            <w:tcW w:w="3721" w:type="dxa"/>
            <w:tcBorders>
              <w:left w:val="single" w:sz="4" w:space="0" w:color="000000"/>
              <w:bottom w:val="single" w:sz="4" w:space="0" w:color="000000"/>
            </w:tcBorders>
            <w:vAlign w:val="center"/>
          </w:tcPr>
          <w:p>
            <w:pPr>
              <w:pStyle w:val="Normal"/>
              <w:snapToGrid w:val="false"/>
              <w:rPr>
                <w:rFonts w:ascii="Arial" w:hAnsi="Arial" w:cs="Arial"/>
                <w:sz w:val="20"/>
                <w:szCs w:val="20"/>
              </w:rPr>
            </w:pPr>
            <w:r>
              <w:rPr>
                <w:rFonts w:cs="Arial" w:ascii="Arial" w:hAnsi="Arial"/>
                <w:sz w:val="20"/>
                <w:szCs w:val="20"/>
              </w:rPr>
            </w:r>
          </w:p>
        </w:tc>
        <w:tc>
          <w:tcPr>
            <w:tcW w:w="3878" w:type="dxa"/>
            <w:tcBorders>
              <w:left w:val="single" w:sz="4" w:space="0" w:color="000000"/>
              <w:bottom w:val="single" w:sz="4" w:space="0" w:color="000000"/>
              <w:right w:val="single" w:sz="4" w:space="0" w:color="000000"/>
            </w:tcBorders>
          </w:tcPr>
          <w:p>
            <w:pPr>
              <w:pStyle w:val="Normal"/>
              <w:snapToGrid w:val="false"/>
              <w:jc w:val="center"/>
              <w:rPr>
                <w:rFonts w:ascii="Arial" w:hAnsi="Arial" w:cs="Arial"/>
                <w:sz w:val="20"/>
                <w:szCs w:val="20"/>
              </w:rPr>
            </w:pPr>
            <w:r>
              <w:rPr>
                <w:rFonts w:cs="Arial" w:ascii="Arial" w:hAnsi="Arial"/>
                <w:sz w:val="20"/>
                <w:szCs w:val="20"/>
              </w:rPr>
            </w:r>
          </w:p>
        </w:tc>
      </w:tr>
      <w:tr>
        <w:trPr>
          <w:trHeight w:val="227" w:hRule="atLeast"/>
        </w:trPr>
        <w:tc>
          <w:tcPr>
            <w:tcW w:w="3570" w:type="dxa"/>
            <w:tcBorders>
              <w:left w:val="single" w:sz="4" w:space="0" w:color="000000"/>
              <w:bottom w:val="single" w:sz="4" w:space="0" w:color="000000"/>
            </w:tcBorders>
            <w:vAlign w:val="center"/>
          </w:tcPr>
          <w:p>
            <w:pPr>
              <w:pStyle w:val="Normal"/>
              <w:snapToGrid w:val="false"/>
              <w:rPr>
                <w:rFonts w:ascii="Arial" w:hAnsi="Arial" w:cs="Arial"/>
                <w:sz w:val="20"/>
                <w:szCs w:val="20"/>
              </w:rPr>
            </w:pPr>
            <w:r>
              <w:rPr>
                <w:rFonts w:cs="Arial" w:ascii="Arial" w:hAnsi="Arial"/>
                <w:sz w:val="20"/>
                <w:szCs w:val="20"/>
              </w:rPr>
              <w:t>UWAGI</w:t>
            </w:r>
          </w:p>
        </w:tc>
        <w:tc>
          <w:tcPr>
            <w:tcW w:w="3721" w:type="dxa"/>
            <w:tcBorders>
              <w:left w:val="single" w:sz="4" w:space="0" w:color="000000"/>
              <w:bottom w:val="single" w:sz="4" w:space="0" w:color="000000"/>
            </w:tcBorders>
          </w:tcPr>
          <w:p>
            <w:pPr>
              <w:pStyle w:val="Normal"/>
              <w:snapToGrid w:val="false"/>
              <w:rPr>
                <w:rFonts w:ascii="Arial" w:hAnsi="Arial" w:cs="Arial"/>
                <w:sz w:val="20"/>
                <w:szCs w:val="20"/>
              </w:rPr>
            </w:pPr>
            <w:r>
              <w:rPr>
                <w:rFonts w:cs="Arial" w:ascii="Arial" w:hAnsi="Arial"/>
                <w:sz w:val="20"/>
                <w:szCs w:val="20"/>
              </w:rPr>
            </w:r>
          </w:p>
          <w:p>
            <w:pPr>
              <w:pStyle w:val="Normal"/>
              <w:snapToGrid w:val="false"/>
              <w:rPr>
                <w:rFonts w:ascii="Arial" w:hAnsi="Arial" w:cs="Arial"/>
                <w:sz w:val="20"/>
                <w:szCs w:val="20"/>
              </w:rPr>
            </w:pPr>
            <w:r>
              <w:rPr>
                <w:rFonts w:cs="Arial" w:ascii="Arial" w:hAnsi="Arial"/>
                <w:sz w:val="20"/>
                <w:szCs w:val="20"/>
              </w:rPr>
            </w:r>
          </w:p>
          <w:p>
            <w:pPr>
              <w:pStyle w:val="Normal"/>
              <w:snapToGrid w:val="false"/>
              <w:rPr>
                <w:rFonts w:ascii="Arial" w:hAnsi="Arial" w:cs="Arial"/>
                <w:sz w:val="20"/>
                <w:szCs w:val="20"/>
              </w:rPr>
            </w:pPr>
            <w:r>
              <w:rPr>
                <w:rFonts w:cs="Arial" w:ascii="Arial" w:hAnsi="Arial"/>
                <w:sz w:val="20"/>
                <w:szCs w:val="20"/>
              </w:rPr>
            </w:r>
          </w:p>
        </w:tc>
        <w:tc>
          <w:tcPr>
            <w:tcW w:w="3878" w:type="dxa"/>
            <w:tcBorders>
              <w:left w:val="single" w:sz="4" w:space="0" w:color="000000"/>
              <w:bottom w:val="single" w:sz="4" w:space="0" w:color="000000"/>
              <w:right w:val="single" w:sz="4" w:space="0" w:color="000000"/>
            </w:tcBorders>
          </w:tcPr>
          <w:p>
            <w:pPr>
              <w:pStyle w:val="Normal"/>
              <w:snapToGrid w:val="false"/>
              <w:jc w:val="center"/>
              <w:rPr>
                <w:rFonts w:ascii="Arial" w:hAnsi="Arial" w:cs="Arial"/>
                <w:sz w:val="20"/>
                <w:szCs w:val="20"/>
              </w:rPr>
            </w:pPr>
            <w:r>
              <w:rPr>
                <w:rFonts w:cs="Arial" w:ascii="Arial" w:hAnsi="Arial"/>
                <w:sz w:val="20"/>
                <w:szCs w:val="20"/>
              </w:rPr>
            </w:r>
          </w:p>
        </w:tc>
      </w:tr>
    </w:tbl>
    <w:p>
      <w:pPr>
        <w:pStyle w:val="Normal"/>
        <w:spacing w:lineRule="exact" w:line="240"/>
        <w:ind w:left="0" w:right="0" w:hanging="0"/>
        <w:rPr/>
      </w:pPr>
      <w:r>
        <w:rPr/>
      </w:r>
    </w:p>
    <w:p>
      <w:pPr>
        <w:pStyle w:val="Normal"/>
        <w:spacing w:lineRule="exact" w:line="240"/>
        <w:ind w:left="0" w:right="0" w:hanging="0"/>
        <w:rPr>
          <w:rFonts w:ascii="Arial" w:hAnsi="Arial" w:cs="Arial"/>
          <w:sz w:val="22"/>
          <w:szCs w:val="22"/>
        </w:rPr>
      </w:pPr>
      <w:r>
        <w:rPr>
          <w:rFonts w:cs="Arial" w:ascii="Arial" w:hAnsi="Arial"/>
          <w:sz w:val="22"/>
          <w:szCs w:val="22"/>
        </w:rPr>
      </w:r>
    </w:p>
    <w:p>
      <w:pPr>
        <w:pStyle w:val="Normal"/>
        <w:spacing w:lineRule="exact" w:line="240"/>
        <w:ind w:left="0" w:right="0" w:hanging="0"/>
        <w:rPr>
          <w:rFonts w:ascii="Arial" w:hAnsi="Arial" w:cs="Arial"/>
          <w:sz w:val="22"/>
          <w:szCs w:val="22"/>
        </w:rPr>
      </w:pPr>
      <w:r>
        <w:rPr>
          <w:rFonts w:eastAsia="Times New Roman" w:cs="Arial" w:ascii="Arial" w:hAnsi="Arial"/>
          <w:color w:val="auto"/>
          <w:sz w:val="22"/>
          <w:szCs w:val="22"/>
          <w:lang w:val="pl-PL" w:eastAsia="zh-CN" w:bidi="ar-SA"/>
        </w:rPr>
        <w:t>Identyfikator</w:t>
      </w:r>
      <w:r>
        <w:rPr>
          <w:rFonts w:cs="Arial" w:ascii="Arial" w:hAnsi="Arial"/>
          <w:sz w:val="22"/>
          <w:szCs w:val="22"/>
        </w:rPr>
        <w:t xml:space="preserve"> pracy geodezyjnej GD-OD-II.6640……………………………………………………………..        </w:t>
        <w:tab/>
        <w:tab/>
        <w:tab/>
        <w:t xml:space="preserve">                          </w:t>
      </w:r>
    </w:p>
    <w:p>
      <w:pPr>
        <w:pStyle w:val="Normal"/>
        <w:spacing w:lineRule="exact" w:line="240"/>
        <w:ind w:left="0" w:right="0" w:hanging="0"/>
        <w:rPr>
          <w:rFonts w:ascii="Arial" w:hAnsi="Arial" w:cs="Arial"/>
          <w:sz w:val="22"/>
          <w:szCs w:val="22"/>
        </w:rPr>
      </w:pPr>
      <w:r>
        <w:rPr>
          <w:rFonts w:cs="Arial" w:ascii="Arial" w:hAnsi="Arial"/>
          <w:sz w:val="22"/>
          <w:szCs w:val="22"/>
        </w:rPr>
        <w:t>Data sporządzenia wykazu………………………………</w:t>
      </w:r>
    </w:p>
    <w:p>
      <w:pPr>
        <w:pStyle w:val="Normal"/>
        <w:spacing w:lineRule="exact" w:line="240"/>
        <w:ind w:left="0" w:right="0" w:hanging="0"/>
        <w:rPr>
          <w:rFonts w:ascii="Arial" w:hAnsi="Arial" w:cs="Arial"/>
          <w:sz w:val="22"/>
          <w:szCs w:val="22"/>
        </w:rPr>
      </w:pPr>
      <w:r>
        <w:rPr>
          <w:rFonts w:cs="Arial" w:ascii="Arial" w:hAnsi="Arial"/>
          <w:sz w:val="22"/>
          <w:szCs w:val="22"/>
        </w:rPr>
      </w:r>
    </w:p>
    <w:p>
      <w:pPr>
        <w:pStyle w:val="Normal"/>
        <w:spacing w:lineRule="exact" w:line="240"/>
        <w:ind w:left="0" w:right="0" w:hanging="0"/>
        <w:rPr>
          <w:rFonts w:ascii="Arial" w:hAnsi="Arial" w:cs="Arial"/>
          <w:sz w:val="22"/>
          <w:szCs w:val="22"/>
        </w:rPr>
      </w:pPr>
      <w:r>
        <w:rPr>
          <w:rFonts w:cs="Arial" w:ascii="Arial" w:hAnsi="Arial"/>
          <w:sz w:val="22"/>
          <w:szCs w:val="22"/>
        </w:rPr>
      </w:r>
    </w:p>
    <w:p>
      <w:pPr>
        <w:pStyle w:val="Normal"/>
        <w:spacing w:lineRule="exact" w:line="240"/>
        <w:ind w:left="0" w:right="0" w:hanging="0"/>
        <w:rPr>
          <w:rFonts w:ascii="Arial" w:hAnsi="Arial" w:cs="Arial"/>
          <w:sz w:val="22"/>
          <w:szCs w:val="22"/>
        </w:rPr>
      </w:pPr>
      <w:r>
        <w:rPr>
          <w:rFonts w:cs="Arial" w:ascii="Arial" w:hAnsi="Arial"/>
          <w:sz w:val="22"/>
          <w:szCs w:val="22"/>
        </w:rPr>
      </w:r>
    </w:p>
    <w:p>
      <w:pPr>
        <w:pStyle w:val="Normal"/>
        <w:spacing w:lineRule="exact" w:line="240"/>
        <w:ind w:left="0" w:right="0" w:hanging="0"/>
        <w:rPr>
          <w:rFonts w:ascii="Arial" w:hAnsi="Arial" w:cs="Arial"/>
          <w:sz w:val="22"/>
          <w:szCs w:val="22"/>
        </w:rPr>
      </w:pPr>
      <w:r>
        <w:rPr>
          <w:rFonts w:cs="Arial" w:ascii="Arial" w:hAnsi="Arial"/>
          <w:sz w:val="22"/>
          <w:szCs w:val="22"/>
        </w:rPr>
      </w:r>
    </w:p>
    <w:p>
      <w:pPr>
        <w:pStyle w:val="Normal"/>
        <w:spacing w:lineRule="exact" w:line="240"/>
        <w:ind w:left="0" w:right="0" w:hanging="0"/>
        <w:rPr>
          <w:rFonts w:ascii="Arial" w:hAnsi="Arial" w:cs="Arial"/>
          <w:sz w:val="22"/>
          <w:szCs w:val="22"/>
        </w:rPr>
      </w:pPr>
      <w:r>
        <w:rPr>
          <w:rFonts w:cs="Arial" w:ascii="Arial" w:hAnsi="Arial"/>
          <w:sz w:val="22"/>
          <w:szCs w:val="22"/>
        </w:rPr>
      </w:r>
    </w:p>
    <w:p>
      <w:pPr>
        <w:pStyle w:val="Normal"/>
        <w:spacing w:lineRule="exact" w:line="240"/>
        <w:ind w:left="0" w:right="0" w:hanging="0"/>
        <w:rPr>
          <w:rFonts w:ascii="Arial" w:hAnsi="Arial" w:cs="Arial"/>
          <w:sz w:val="22"/>
          <w:szCs w:val="22"/>
        </w:rPr>
      </w:pPr>
      <w:r>
        <w:rPr>
          <w:rFonts w:cs="Arial" w:ascii="Arial" w:hAnsi="Arial"/>
          <w:sz w:val="22"/>
          <w:szCs w:val="22"/>
        </w:rPr>
      </w:r>
    </w:p>
    <w:p>
      <w:pPr>
        <w:pStyle w:val="Normal"/>
        <w:spacing w:lineRule="exact" w:line="240"/>
        <w:ind w:left="0" w:right="0" w:hanging="0"/>
        <w:rPr>
          <w:rFonts w:ascii="Arial" w:hAnsi="Arial" w:cs="Arial"/>
          <w:sz w:val="22"/>
          <w:szCs w:val="22"/>
        </w:rPr>
      </w:pPr>
      <w:r>
        <w:rPr>
          <w:rFonts w:cs="Arial" w:ascii="Arial" w:hAnsi="Arial"/>
          <w:sz w:val="22"/>
          <w:szCs w:val="22"/>
        </w:rPr>
        <w:t xml:space="preserve">………………………………                                                    </w:t>
      </w:r>
      <w:r>
        <w:rPr>
          <w:rFonts w:eastAsia="Arial" w:cs="Arial" w:ascii="Arial" w:hAnsi="Arial"/>
          <w:sz w:val="22"/>
          <w:szCs w:val="22"/>
        </w:rPr>
        <w:t>…………………………………………</w:t>
      </w:r>
    </w:p>
    <w:p>
      <w:pPr>
        <w:pStyle w:val="Normal"/>
        <w:spacing w:lineRule="exact" w:line="240"/>
        <w:ind w:left="0" w:right="0" w:hanging="0"/>
        <w:rPr>
          <w:rFonts w:ascii="Arial" w:hAnsi="Arial" w:cs="Arial"/>
          <w:sz w:val="22"/>
          <w:szCs w:val="22"/>
        </w:rPr>
      </w:pPr>
      <w:r>
        <w:rPr>
          <w:rFonts w:eastAsia="Times New Roman" w:cs="Arial" w:ascii="Arial" w:hAnsi="Arial"/>
          <w:color w:val="auto"/>
          <w:sz w:val="22"/>
          <w:szCs w:val="22"/>
          <w:lang w:val="pl-PL" w:eastAsia="zh-CN" w:bidi="ar-SA"/>
        </w:rPr>
        <w:t>Osoba sporządzająca wykaz</w:t>
      </w:r>
      <w:r>
        <w:rPr>
          <w:rFonts w:cs="Arial" w:ascii="Arial" w:hAnsi="Arial"/>
          <w:sz w:val="22"/>
          <w:szCs w:val="22"/>
        </w:rPr>
        <w:t xml:space="preserve">                                                  </w:t>
      </w:r>
      <w:r>
        <w:rPr>
          <w:rFonts w:cs="Arial" w:ascii="Arial" w:hAnsi="Arial"/>
          <w:sz w:val="22"/>
          <w:szCs w:val="22"/>
        </w:rPr>
        <w:t>Kierownik prac geodezyjnych</w:t>
      </w:r>
      <w:r>
        <w:rPr>
          <w:rFonts w:eastAsia="Arial" w:cs="Arial" w:ascii="Arial" w:hAnsi="Arial"/>
          <w:sz w:val="22"/>
          <w:szCs w:val="22"/>
        </w:rPr>
        <w:t xml:space="preserve"> </w:t>
      </w:r>
    </w:p>
    <w:p>
      <w:pPr>
        <w:pStyle w:val="Normal"/>
        <w:spacing w:lineRule="exact" w:line="240"/>
        <w:ind w:left="0" w:right="0" w:hanging="0"/>
        <w:rPr>
          <w:rFonts w:ascii="Arial" w:hAnsi="Arial" w:cs="Arial"/>
          <w:sz w:val="22"/>
          <w:szCs w:val="22"/>
        </w:rPr>
      </w:pPr>
      <w:r>
        <w:rPr>
          <w:rFonts w:cs="Arial" w:ascii="Arial" w:hAnsi="Arial"/>
          <w:sz w:val="22"/>
          <w:szCs w:val="22"/>
        </w:rPr>
        <w:t>(imię i nazwisko</w:t>
      </w:r>
      <w:r>
        <w:rPr>
          <w:rFonts w:cs="Arial" w:ascii="Arial" w:hAnsi="Arial"/>
          <w:sz w:val="22"/>
          <w:szCs w:val="22"/>
        </w:rPr>
        <w:t>)</w:t>
      </w:r>
      <w:r>
        <w:rPr>
          <w:rFonts w:cs="Arial" w:ascii="Arial" w:hAnsi="Arial"/>
          <w:sz w:val="22"/>
          <w:szCs w:val="22"/>
        </w:rPr>
        <w:t xml:space="preserve">                                                                     </w:t>
      </w:r>
      <w:r>
        <w:rPr>
          <w:rFonts w:eastAsia="Arial" w:cs="Arial" w:ascii="Arial" w:hAnsi="Arial"/>
          <w:sz w:val="22"/>
          <w:szCs w:val="22"/>
        </w:rPr>
        <w:t>(imię, nazwisko,numer uprawnień</w:t>
      </w:r>
      <w:r>
        <w:rPr>
          <w:rFonts w:eastAsia="Arial" w:cs="Arial" w:ascii="Arial" w:hAnsi="Arial"/>
          <w:sz w:val="22"/>
          <w:szCs w:val="22"/>
        </w:rPr>
        <w:t>)</w:t>
      </w:r>
    </w:p>
    <w:p>
      <w:pPr>
        <w:pStyle w:val="Normal"/>
        <w:spacing w:lineRule="exact" w:line="240"/>
        <w:ind w:left="0" w:right="0" w:hanging="0"/>
        <w:rPr>
          <w:rFonts w:ascii="Arial" w:hAnsi="Arial" w:eastAsia="Arial" w:cs="Arial"/>
          <w:sz w:val="22"/>
          <w:szCs w:val="22"/>
        </w:rPr>
      </w:pPr>
      <w:r>
        <w:rPr>
          <w:rFonts w:eastAsia="Arial" w:cs="Arial" w:ascii="Arial" w:hAnsi="Arial"/>
          <w:sz w:val="22"/>
          <w:szCs w:val="22"/>
        </w:rPr>
      </w:r>
    </w:p>
    <w:p>
      <w:pPr>
        <w:pStyle w:val="Normal"/>
        <w:spacing w:lineRule="exact" w:line="240"/>
        <w:ind w:left="0" w:right="0" w:hanging="0"/>
        <w:rPr>
          <w:sz w:val="22"/>
          <w:szCs w:val="22"/>
        </w:rPr>
      </w:pPr>
      <w:r>
        <w:rPr>
          <w:sz w:val="22"/>
          <w:szCs w:val="22"/>
        </w:rPr>
      </w:r>
    </w:p>
    <w:p>
      <w:pPr>
        <w:pStyle w:val="Normal"/>
        <w:spacing w:lineRule="exact" w:line="240"/>
        <w:ind w:left="0" w:right="0" w:hanging="0"/>
        <w:rPr>
          <w:rFonts w:ascii="Arial" w:hAnsi="Arial" w:eastAsia="Arial" w:cs="Arial"/>
          <w:b w:val="false"/>
          <w:b w:val="false"/>
          <w:i w:val="false"/>
          <w:i w:val="false"/>
          <w:strike w:val="false"/>
          <w:dstrike w:val="false"/>
          <w:outline w:val="false"/>
          <w:shadow w:val="false"/>
          <w:sz w:val="22"/>
          <w:szCs w:val="22"/>
          <w:u w:val="none"/>
          <w:em w:val="none"/>
        </w:rPr>
      </w:pPr>
      <w:r>
        <w:rPr>
          <w:rFonts w:eastAsia="Arial" w:cs="Arial" w:ascii="Arial" w:hAnsi="Arial"/>
          <w:b w:val="false"/>
          <w:i w:val="false"/>
          <w:strike w:val="false"/>
          <w:dstrike w:val="false"/>
          <w:outline w:val="false"/>
          <w:shadow w:val="false"/>
          <w:sz w:val="22"/>
          <w:szCs w:val="22"/>
          <w:u w:val="none"/>
          <w:em w:val="none"/>
        </w:rPr>
        <w:t xml:space="preserve">Przypisy: </w:t>
      </w:r>
    </w:p>
    <w:p>
      <w:pPr>
        <w:pStyle w:val="Normal"/>
        <w:spacing w:lineRule="exact" w:line="240"/>
        <w:ind w:left="0" w:right="0" w:hanging="0"/>
        <w:rPr>
          <w:sz w:val="22"/>
          <w:szCs w:val="22"/>
        </w:rPr>
      </w:pPr>
      <w:r>
        <w:rPr>
          <w:rFonts w:eastAsia="Arial" w:cs="Arial" w:ascii="Arial" w:hAnsi="Arial"/>
          <w:b w:val="false"/>
          <w:i w:val="false"/>
          <w:strike w:val="false"/>
          <w:dstrike w:val="false"/>
          <w:outline w:val="false"/>
          <w:shadow w:val="false"/>
          <w:sz w:val="22"/>
          <w:szCs w:val="22"/>
          <w:u w:val="none"/>
          <w:em w:val="none"/>
        </w:rPr>
        <w:t xml:space="preserve">* </w:t>
      </w:r>
      <w:r>
        <w:rPr>
          <w:rFonts w:eastAsia="Arial" w:cs="Arial" w:ascii="Arial" w:hAnsi="Arial"/>
          <w:b w:val="false"/>
          <w:i w:val="false"/>
          <w:strike w:val="false"/>
          <w:dstrike w:val="false"/>
          <w:outline w:val="false"/>
          <w:shadow w:val="false"/>
          <w:sz w:val="22"/>
          <w:szCs w:val="22"/>
          <w:u w:val="none"/>
          <w:em w:val="none"/>
        </w:rPr>
        <w:t>w przypadku gdy budynek jest położony na kilku działkach ewidencyjnych należy podać identyfikatory wszystkich działek ewidencyjnych, na których budynek jest położony</w:t>
      </w:r>
    </w:p>
    <w:p>
      <w:pPr>
        <w:pStyle w:val="Normal"/>
        <w:spacing w:lineRule="exact" w:line="240"/>
        <w:ind w:left="0" w:right="0" w:hanging="0"/>
        <w:rPr>
          <w:sz w:val="22"/>
          <w:szCs w:val="22"/>
        </w:rPr>
      </w:pPr>
      <w:r>
        <w:rPr>
          <w:rFonts w:eastAsia="Arial" w:cs="Arial" w:ascii="Arial" w:hAnsi="Arial"/>
          <w:b w:val="false"/>
          <w:i w:val="false"/>
          <w:strike w:val="false"/>
          <w:dstrike w:val="false"/>
          <w:outline w:val="false"/>
          <w:shadow w:val="false"/>
          <w:sz w:val="22"/>
          <w:szCs w:val="22"/>
          <w:u w:val="none"/>
          <w:em w:val="none"/>
        </w:rPr>
        <w:t>**- podaj wed</w:t>
      </w:r>
      <w:r>
        <w:rPr>
          <w:rFonts w:cs="Arial" w:ascii="Arial" w:hAnsi="Arial"/>
          <w:b w:val="false"/>
          <w:i w:val="false"/>
          <w:strike w:val="false"/>
          <w:dstrike w:val="false"/>
          <w:outline w:val="false"/>
          <w:shadow w:val="false"/>
          <w:sz w:val="22"/>
          <w:szCs w:val="22"/>
          <w:u w:val="none"/>
          <w:em w:val="none"/>
        </w:rPr>
        <w:t xml:space="preserve">ług załączonego słownika (słownie i kod) </w:t>
      </w:r>
    </w:p>
    <w:p>
      <w:pPr>
        <w:pStyle w:val="Normal"/>
        <w:spacing w:lineRule="exact" w:line="240"/>
        <w:ind w:left="0" w:right="0" w:hanging="0"/>
        <w:rPr>
          <w:sz w:val="20"/>
          <w:szCs w:val="20"/>
        </w:rPr>
      </w:pPr>
      <w:r>
        <w:rPr>
          <w:sz w:val="20"/>
          <w:szCs w:val="20"/>
        </w:rPr>
      </w:r>
    </w:p>
    <w:p>
      <w:pPr>
        <w:pStyle w:val="Normal"/>
        <w:spacing w:lineRule="exact" w:line="240"/>
        <w:ind w:left="0" w:right="0" w:hanging="0"/>
        <w:rPr>
          <w:sz w:val="20"/>
          <w:szCs w:val="20"/>
        </w:rPr>
      </w:pPr>
      <w:r>
        <w:rPr>
          <w:sz w:val="20"/>
          <w:szCs w:val="20"/>
        </w:rPr>
      </w:r>
    </w:p>
    <w:p>
      <w:pPr>
        <w:pStyle w:val="Normal"/>
        <w:spacing w:lineRule="exact" w:line="240"/>
        <w:ind w:left="0" w:right="0" w:hanging="0"/>
        <w:rPr>
          <w:sz w:val="20"/>
          <w:szCs w:val="20"/>
        </w:rPr>
      </w:pPr>
      <w:r>
        <w:rPr>
          <w:sz w:val="20"/>
          <w:szCs w:val="20"/>
        </w:rPr>
      </w:r>
    </w:p>
    <w:p>
      <w:pPr>
        <w:pStyle w:val="Normal"/>
        <w:spacing w:lineRule="exact" w:line="240"/>
        <w:ind w:left="0" w:right="0" w:hanging="0"/>
        <w:rPr>
          <w:sz w:val="20"/>
          <w:szCs w:val="20"/>
        </w:rPr>
      </w:pPr>
      <w:r>
        <w:rPr>
          <w:sz w:val="20"/>
          <w:szCs w:val="20"/>
        </w:rPr>
      </w:r>
    </w:p>
    <w:p>
      <w:pPr>
        <w:pStyle w:val="Normal"/>
        <w:spacing w:lineRule="exact" w:line="240"/>
        <w:ind w:left="0" w:right="0" w:hanging="0"/>
        <w:rPr>
          <w:sz w:val="20"/>
          <w:szCs w:val="20"/>
        </w:rPr>
      </w:pPr>
      <w:r>
        <w:rPr>
          <w:sz w:val="20"/>
          <w:szCs w:val="20"/>
        </w:rPr>
      </w:r>
    </w:p>
    <w:p>
      <w:pPr>
        <w:pStyle w:val="Normal"/>
        <w:spacing w:lineRule="exact" w:line="240"/>
        <w:ind w:left="0" w:right="0" w:hanging="0"/>
        <w:rPr>
          <w:sz w:val="20"/>
          <w:szCs w:val="20"/>
        </w:rPr>
      </w:pPr>
      <w:r>
        <w:rPr>
          <w:sz w:val="20"/>
          <w:szCs w:val="20"/>
        </w:rPr>
      </w:r>
    </w:p>
    <w:p>
      <w:pPr>
        <w:pStyle w:val="Normal"/>
        <w:spacing w:lineRule="exact" w:line="240"/>
        <w:ind w:left="0" w:right="0" w:hanging="0"/>
        <w:rPr>
          <w:sz w:val="20"/>
          <w:szCs w:val="20"/>
        </w:rPr>
      </w:pPr>
      <w:r>
        <w:rPr>
          <w:sz w:val="20"/>
          <w:szCs w:val="20"/>
        </w:rPr>
      </w:r>
    </w:p>
    <w:p>
      <w:pPr>
        <w:pStyle w:val="Normal"/>
        <w:spacing w:lineRule="exact" w:line="240"/>
        <w:ind w:left="0" w:right="0" w:hanging="0"/>
        <w:rPr>
          <w:sz w:val="20"/>
          <w:szCs w:val="20"/>
        </w:rPr>
      </w:pPr>
      <w:r>
        <w:rPr>
          <w:sz w:val="20"/>
          <w:szCs w:val="20"/>
        </w:rPr>
      </w:r>
    </w:p>
    <w:p>
      <w:pPr>
        <w:pStyle w:val="Normal"/>
        <w:spacing w:lineRule="exact" w:line="240"/>
        <w:ind w:left="0" w:right="0" w:hanging="0"/>
        <w:rPr>
          <w:sz w:val="20"/>
          <w:szCs w:val="20"/>
        </w:rPr>
      </w:pPr>
      <w:r>
        <w:rPr>
          <w:sz w:val="20"/>
          <w:szCs w:val="20"/>
        </w:rPr>
      </w:r>
    </w:p>
    <w:p>
      <w:pPr>
        <w:pStyle w:val="Normal"/>
        <w:spacing w:lineRule="exact" w:line="240"/>
        <w:ind w:left="0" w:right="0" w:hanging="0"/>
        <w:rPr>
          <w:sz w:val="20"/>
          <w:szCs w:val="20"/>
        </w:rPr>
      </w:pPr>
      <w:r>
        <w:rPr>
          <w:sz w:val="20"/>
          <w:szCs w:val="20"/>
        </w:rPr>
      </w:r>
    </w:p>
    <w:p>
      <w:pPr>
        <w:pStyle w:val="Normal"/>
        <w:spacing w:lineRule="exact" w:line="240"/>
        <w:ind w:left="0" w:right="0" w:hanging="0"/>
        <w:rPr>
          <w:sz w:val="20"/>
          <w:szCs w:val="20"/>
        </w:rPr>
      </w:pPr>
      <w:r>
        <w:rPr>
          <w:sz w:val="20"/>
          <w:szCs w:val="20"/>
        </w:rPr>
      </w:r>
    </w:p>
    <w:p>
      <w:pPr>
        <w:pStyle w:val="Normal"/>
        <w:spacing w:lineRule="exact" w:line="240"/>
        <w:ind w:left="0" w:right="0" w:hanging="0"/>
        <w:rPr>
          <w:sz w:val="20"/>
          <w:szCs w:val="20"/>
        </w:rPr>
      </w:pPr>
      <w:r>
        <w:rPr>
          <w:sz w:val="20"/>
          <w:szCs w:val="20"/>
        </w:rPr>
      </w:r>
    </w:p>
    <w:p>
      <w:pPr>
        <w:pStyle w:val="Normal"/>
        <w:spacing w:lineRule="exact" w:line="240"/>
        <w:ind w:left="0" w:right="0" w:hanging="0"/>
        <w:rPr>
          <w:sz w:val="20"/>
          <w:szCs w:val="20"/>
        </w:rPr>
      </w:pPr>
      <w:r>
        <w:rPr>
          <w:sz w:val="20"/>
          <w:szCs w:val="20"/>
        </w:rPr>
      </w:r>
    </w:p>
    <w:tbl>
      <w:tblPr>
        <w:tblW w:w="10721" w:type="dxa"/>
        <w:jc w:val="left"/>
        <w:tblInd w:w="-730" w:type="dxa"/>
        <w:tblLayout w:type="fixed"/>
        <w:tblCellMar>
          <w:top w:w="0" w:type="dxa"/>
          <w:left w:w="0" w:type="dxa"/>
          <w:bottom w:w="0" w:type="dxa"/>
          <w:right w:w="0" w:type="dxa"/>
        </w:tblCellMar>
      </w:tblPr>
      <w:tblGrid>
        <w:gridCol w:w="797"/>
        <w:gridCol w:w="1472"/>
        <w:gridCol w:w="8452"/>
      </w:tblGrid>
      <w:tr>
        <w:trPr/>
        <w:tc>
          <w:tcPr>
            <w:tcW w:w="797" w:type="dxa"/>
            <w:tcBorders>
              <w:top w:val="single" w:sz="6" w:space="0" w:color="808080"/>
              <w:left w:val="single" w:sz="6" w:space="0" w:color="808080"/>
              <w:bottom w:val="single" w:sz="6" w:space="0" w:color="808080"/>
            </w:tcBorders>
            <w:vAlign w:val="center"/>
          </w:tcPr>
          <w:p>
            <w:pPr>
              <w:pStyle w:val="Zawartotabeli"/>
              <w:jc w:val="center"/>
              <w:rPr>
                <w:sz w:val="20"/>
                <w:szCs w:val="20"/>
              </w:rPr>
            </w:pPr>
            <w:r>
              <w:rPr>
                <w:sz w:val="20"/>
                <w:szCs w:val="20"/>
              </w:rPr>
              <w:t>Sym</w:t>
            </w:r>
            <w:r>
              <w:rPr>
                <w:sz w:val="20"/>
                <w:szCs w:val="20"/>
              </w:rPr>
              <w:t>bol KŚT</w:t>
            </w:r>
          </w:p>
        </w:tc>
        <w:tc>
          <w:tcPr>
            <w:tcW w:w="1472" w:type="dxa"/>
            <w:tcBorders>
              <w:top w:val="single" w:sz="6" w:space="0" w:color="808080"/>
              <w:left w:val="single" w:sz="6" w:space="0" w:color="808080"/>
              <w:bottom w:val="single" w:sz="6" w:space="0" w:color="808080"/>
            </w:tcBorders>
            <w:vAlign w:val="center"/>
          </w:tcPr>
          <w:p>
            <w:pPr>
              <w:pStyle w:val="Zawartotabeli"/>
              <w:jc w:val="center"/>
              <w:rPr>
                <w:sz w:val="16"/>
                <w:szCs w:val="16"/>
              </w:rPr>
            </w:pPr>
            <w:r>
              <w:rPr>
                <w:sz w:val="16"/>
                <w:szCs w:val="16"/>
              </w:rPr>
              <w:t>Wyszczególnienie</w:t>
            </w:r>
          </w:p>
        </w:tc>
        <w:tc>
          <w:tcPr>
            <w:tcW w:w="8452" w:type="dxa"/>
            <w:tcBorders>
              <w:top w:val="single" w:sz="6" w:space="0" w:color="808080"/>
              <w:left w:val="single" w:sz="6" w:space="0" w:color="808080"/>
              <w:bottom w:val="single" w:sz="6" w:space="0" w:color="808080"/>
              <w:right w:val="single" w:sz="6" w:space="0" w:color="808080"/>
            </w:tcBorders>
            <w:vAlign w:val="center"/>
          </w:tcPr>
          <w:p>
            <w:pPr>
              <w:pStyle w:val="Zawartotabeli"/>
              <w:jc w:val="center"/>
              <w:rPr>
                <w:sz w:val="16"/>
                <w:szCs w:val="16"/>
              </w:rPr>
            </w:pPr>
            <w:r>
              <w:rPr>
                <w:sz w:val="16"/>
                <w:szCs w:val="16"/>
              </w:rPr>
              <w:t>Opis dodatkowy</w:t>
            </w:r>
          </w:p>
        </w:tc>
      </w:tr>
      <w:tr>
        <w:trPr/>
        <w:tc>
          <w:tcPr>
            <w:tcW w:w="797" w:type="dxa"/>
            <w:tcBorders>
              <w:left w:val="single" w:sz="6" w:space="0" w:color="808080"/>
              <w:bottom w:val="single" w:sz="6" w:space="0" w:color="808080"/>
            </w:tcBorders>
          </w:tcPr>
          <w:p>
            <w:pPr>
              <w:pStyle w:val="Zawartotabeli"/>
              <w:rPr>
                <w:sz w:val="20"/>
                <w:szCs w:val="20"/>
              </w:rPr>
            </w:pPr>
            <w:r>
              <w:rPr>
                <w:sz w:val="20"/>
                <w:szCs w:val="20"/>
              </w:rPr>
              <w:t>101</w:t>
            </w:r>
          </w:p>
        </w:tc>
        <w:tc>
          <w:tcPr>
            <w:tcW w:w="1472" w:type="dxa"/>
            <w:tcBorders>
              <w:left w:val="single" w:sz="6" w:space="0" w:color="808080"/>
              <w:bottom w:val="single" w:sz="6" w:space="0" w:color="808080"/>
            </w:tcBorders>
          </w:tcPr>
          <w:p>
            <w:pPr>
              <w:pStyle w:val="Zawartotabeli"/>
              <w:rPr>
                <w:sz w:val="16"/>
                <w:szCs w:val="16"/>
              </w:rPr>
            </w:pPr>
            <w:r>
              <w:rPr>
                <w:sz w:val="16"/>
                <w:szCs w:val="16"/>
              </w:rPr>
              <w:t>BUDYNKI PRZEMYSŁOWE</w:t>
            </w:r>
          </w:p>
        </w:tc>
        <w:tc>
          <w:tcPr>
            <w:tcW w:w="8452" w:type="dxa"/>
            <w:tcBorders>
              <w:left w:val="single" w:sz="6" w:space="0" w:color="808080"/>
              <w:bottom w:val="single" w:sz="6" w:space="0" w:color="808080"/>
              <w:right w:val="single" w:sz="6" w:space="0" w:color="808080"/>
            </w:tcBorders>
          </w:tcPr>
          <w:p>
            <w:pPr>
              <w:pStyle w:val="Zawartotabeli"/>
              <w:spacing w:lineRule="exact" w:line="170" w:before="0" w:after="55"/>
              <w:rPr>
                <w:sz w:val="16"/>
                <w:szCs w:val="16"/>
              </w:rPr>
            </w:pPr>
            <w:bookmarkStart w:id="0" w:name="101"/>
            <w:bookmarkEnd w:id="0"/>
            <w:r>
              <w:rPr>
                <w:b/>
                <w:sz w:val="16"/>
                <w:szCs w:val="16"/>
              </w:rPr>
              <w:t>Rodzaj ten obejmuje:</w:t>
            </w:r>
            <w:r>
              <w:rPr>
                <w:sz w:val="16"/>
                <w:szCs w:val="16"/>
              </w:rPr>
              <w:t xml:space="preserve">fabryki, warsztaty, hale produkcyjne, rzeźnie, browary, montownie, wytwórnie filmowe itp. budynki przeznaczone na produkcję.                                                                                                                                                            </w:t>
            </w:r>
            <w:r>
              <w:rPr>
                <w:b/>
                <w:sz w:val="16"/>
                <w:szCs w:val="16"/>
              </w:rPr>
              <w:t xml:space="preserve">Rodzaj ten nie obejmuje: </w:t>
            </w:r>
            <w:r>
              <w:rPr>
                <w:sz w:val="16"/>
                <w:szCs w:val="16"/>
              </w:rPr>
              <w:t>zbiorników, silosów i budynków magazynowych, sklasyfikowanych w rodzaju 104, budynków przeznaczonych na produkcję rolną, sklasyfikowanych w rodzaju 108, kompleksowych obiektów przemysłowych, które nie są budynkami, sklasyfikowanych w podgrupie 20.</w:t>
            </w:r>
          </w:p>
        </w:tc>
      </w:tr>
      <w:tr>
        <w:trPr/>
        <w:tc>
          <w:tcPr>
            <w:tcW w:w="797" w:type="dxa"/>
            <w:tcBorders>
              <w:left w:val="single" w:sz="6" w:space="0" w:color="808080"/>
              <w:bottom w:val="single" w:sz="6" w:space="0" w:color="808080"/>
            </w:tcBorders>
          </w:tcPr>
          <w:p>
            <w:pPr>
              <w:pStyle w:val="Zawartotabeli"/>
              <w:rPr>
                <w:sz w:val="20"/>
                <w:szCs w:val="20"/>
              </w:rPr>
            </w:pPr>
            <w:r>
              <w:rPr>
                <w:sz w:val="20"/>
                <w:szCs w:val="20"/>
              </w:rPr>
              <w:t>102</w:t>
            </w:r>
          </w:p>
        </w:tc>
        <w:tc>
          <w:tcPr>
            <w:tcW w:w="1472" w:type="dxa"/>
            <w:tcBorders>
              <w:left w:val="single" w:sz="6" w:space="0" w:color="808080"/>
              <w:bottom w:val="single" w:sz="6" w:space="0" w:color="808080"/>
            </w:tcBorders>
          </w:tcPr>
          <w:p>
            <w:pPr>
              <w:pStyle w:val="Zawartotabeli"/>
              <w:spacing w:before="0" w:after="283"/>
              <w:rPr>
                <w:sz w:val="16"/>
                <w:szCs w:val="16"/>
              </w:rPr>
            </w:pPr>
            <w:r>
              <w:rPr>
                <w:sz w:val="16"/>
                <w:szCs w:val="16"/>
              </w:rPr>
              <w:t xml:space="preserve">BUDYNKI TRANSPORTU I ŁĄCZNOŚCI </w:t>
              <w:br/>
            </w:r>
          </w:p>
        </w:tc>
        <w:tc>
          <w:tcPr>
            <w:tcW w:w="8452" w:type="dxa"/>
            <w:tcBorders>
              <w:left w:val="single" w:sz="6" w:space="0" w:color="808080"/>
              <w:bottom w:val="single" w:sz="6" w:space="0" w:color="808080"/>
              <w:right w:val="single" w:sz="6" w:space="0" w:color="808080"/>
            </w:tcBorders>
          </w:tcPr>
          <w:p>
            <w:pPr>
              <w:pStyle w:val="Zawartotabeli"/>
              <w:spacing w:before="0" w:after="0"/>
              <w:rPr>
                <w:sz w:val="16"/>
                <w:szCs w:val="16"/>
              </w:rPr>
            </w:pPr>
            <w:bookmarkStart w:id="1" w:name="102"/>
            <w:bookmarkEnd w:id="1"/>
            <w:r>
              <w:rPr>
                <w:b/>
                <w:sz w:val="16"/>
                <w:szCs w:val="16"/>
              </w:rPr>
              <w:t>Rodzaj ten obejmuje</w:t>
            </w:r>
            <w:r>
              <w:rPr>
                <w:sz w:val="16"/>
                <w:szCs w:val="16"/>
              </w:rPr>
              <w:t xml:space="preserve"> budynki transportu i łączności, w tym: budynki lotnisk, dworców kolejowych i autobusowych oraz terminali portowych, budynki stacji kolejek górskich i wyciągów krzesełkowych, budynki stacji nadawczych radia i telewizji, budynki central telefonicznych, centrów telekomunikacyjnych itp., hangary lotnicze, budynki nastawni kolejowych, budynki zajezdni dla środków transportu, budki telefoniczne, budynki latarni morskich, budynki kontroli ruchu powietrznego (wieże), budynki garaży i zadaszone parkingi, budynki do przechowywania rowerów.</w:t>
            </w:r>
          </w:p>
          <w:p>
            <w:pPr>
              <w:pStyle w:val="Zawartotabeli"/>
              <w:spacing w:before="0" w:after="0"/>
              <w:rPr>
                <w:sz w:val="16"/>
                <w:szCs w:val="16"/>
              </w:rPr>
            </w:pPr>
            <w:r>
              <w:rPr>
                <w:b/>
                <w:sz w:val="16"/>
                <w:szCs w:val="16"/>
              </w:rPr>
              <w:t xml:space="preserve">Rodzaj ten nie obejmuje: </w:t>
            </w:r>
            <w:r>
              <w:rPr>
                <w:sz w:val="16"/>
                <w:szCs w:val="16"/>
              </w:rPr>
              <w:t>budynków stacji obsługi, sklasyfikowanych w rodzaju 103, budynków magazynowych, sklasyfikowanych w rodzaju 104, terminali ropy naftowej i gazu, sklasyfikowanych w rodzaju 202, linii telekomunikacyjnych i masztów, sklasyfikowanych w podgrupie 21, dróg kolejowych, sklasyfikowanych w rodzaju 221, dróg lotniskowych, sklasyfikowanych w rodzaju 222, miejsc parkingowych znajdujących się w budynkach, innych niż budynki transportu i łączności, sklasyfikowanych w odpowiednich grupowaniach KŚT, zgodnie z przeznaczeniem tego budynku.</w:t>
            </w:r>
          </w:p>
        </w:tc>
      </w:tr>
      <w:tr>
        <w:trPr/>
        <w:tc>
          <w:tcPr>
            <w:tcW w:w="797" w:type="dxa"/>
            <w:tcBorders>
              <w:left w:val="single" w:sz="6" w:space="0" w:color="808080"/>
              <w:bottom w:val="single" w:sz="6" w:space="0" w:color="808080"/>
            </w:tcBorders>
          </w:tcPr>
          <w:p>
            <w:pPr>
              <w:pStyle w:val="Zawartotabeli"/>
              <w:rPr>
                <w:sz w:val="20"/>
                <w:szCs w:val="20"/>
              </w:rPr>
            </w:pPr>
            <w:r>
              <w:rPr>
                <w:sz w:val="20"/>
                <w:szCs w:val="20"/>
              </w:rPr>
              <w:t>103</w:t>
            </w:r>
          </w:p>
        </w:tc>
        <w:tc>
          <w:tcPr>
            <w:tcW w:w="1472" w:type="dxa"/>
            <w:tcBorders>
              <w:left w:val="single" w:sz="6" w:space="0" w:color="808080"/>
              <w:bottom w:val="single" w:sz="6" w:space="0" w:color="808080"/>
            </w:tcBorders>
          </w:tcPr>
          <w:p>
            <w:pPr>
              <w:pStyle w:val="Zawartotabeli"/>
              <w:rPr>
                <w:sz w:val="16"/>
                <w:szCs w:val="16"/>
              </w:rPr>
            </w:pPr>
            <w:r>
              <w:rPr>
                <w:sz w:val="16"/>
                <w:szCs w:val="16"/>
              </w:rPr>
              <w:t xml:space="preserve">BUDYNKI HANDLOWO-USŁUGOWE </w:t>
              <w:br/>
            </w:r>
          </w:p>
        </w:tc>
        <w:tc>
          <w:tcPr>
            <w:tcW w:w="8452" w:type="dxa"/>
            <w:tcBorders>
              <w:left w:val="single" w:sz="6" w:space="0" w:color="808080"/>
              <w:bottom w:val="single" w:sz="6" w:space="0" w:color="808080"/>
              <w:right w:val="single" w:sz="6" w:space="0" w:color="808080"/>
            </w:tcBorders>
          </w:tcPr>
          <w:p>
            <w:pPr>
              <w:pStyle w:val="Zawartotabeli"/>
              <w:spacing w:before="0" w:after="0"/>
              <w:rPr>
                <w:sz w:val="16"/>
                <w:szCs w:val="16"/>
              </w:rPr>
            </w:pPr>
            <w:bookmarkStart w:id="2" w:name="103"/>
            <w:bookmarkEnd w:id="2"/>
            <w:r>
              <w:rPr>
                <w:b/>
                <w:sz w:val="16"/>
                <w:szCs w:val="16"/>
              </w:rPr>
              <w:t xml:space="preserve">Rodzaj ten obejmuje budynki: </w:t>
            </w:r>
            <w:r>
              <w:rPr>
                <w:sz w:val="16"/>
                <w:szCs w:val="16"/>
              </w:rPr>
              <w:t>centrów handlowych, domów towarowych, samodzielnych sklepów i butików, kiosków towarowych na trwale związanych z gruntem, hal przeznaczone na targi, aukcje, wystawy, targowisk pod dachem, stacji paliw, stacji obsługi itp., aptek, pozostałe handlowo-usługowe.</w:t>
            </w:r>
          </w:p>
          <w:p>
            <w:pPr>
              <w:pStyle w:val="Zawartotabeli"/>
              <w:spacing w:before="0" w:after="0"/>
              <w:rPr>
                <w:sz w:val="16"/>
                <w:szCs w:val="16"/>
              </w:rPr>
            </w:pPr>
            <w:r>
              <w:rPr>
                <w:b/>
                <w:sz w:val="16"/>
                <w:szCs w:val="16"/>
              </w:rPr>
              <w:t xml:space="preserve">Rodzaj ten nie obejmuje: </w:t>
            </w:r>
            <w:r>
              <w:rPr>
                <w:sz w:val="16"/>
                <w:szCs w:val="16"/>
              </w:rPr>
              <w:t>budynków rolniczych, sklasyfikowanych w rodzaju 108, sklepów w budynkach, innych niż budynki handlowo-usługowe, sklasyfikowanych w odpowiednich rodzajach KŚT, zgodnie z przeznaczeniem tego budynku.</w:t>
            </w:r>
          </w:p>
        </w:tc>
      </w:tr>
      <w:tr>
        <w:trPr/>
        <w:tc>
          <w:tcPr>
            <w:tcW w:w="797" w:type="dxa"/>
            <w:tcBorders>
              <w:left w:val="single" w:sz="6" w:space="0" w:color="808080"/>
              <w:bottom w:val="single" w:sz="6" w:space="0" w:color="808080"/>
            </w:tcBorders>
          </w:tcPr>
          <w:p>
            <w:pPr>
              <w:pStyle w:val="Zawartotabeli"/>
              <w:rPr>
                <w:sz w:val="20"/>
                <w:szCs w:val="20"/>
              </w:rPr>
            </w:pPr>
            <w:r>
              <w:rPr>
                <w:sz w:val="20"/>
                <w:szCs w:val="20"/>
              </w:rPr>
              <w:t>104</w:t>
            </w:r>
          </w:p>
        </w:tc>
        <w:tc>
          <w:tcPr>
            <w:tcW w:w="1472" w:type="dxa"/>
            <w:tcBorders>
              <w:left w:val="single" w:sz="6" w:space="0" w:color="808080"/>
              <w:bottom w:val="single" w:sz="6" w:space="0" w:color="808080"/>
            </w:tcBorders>
          </w:tcPr>
          <w:p>
            <w:pPr>
              <w:pStyle w:val="Zawartotabeli"/>
              <w:rPr>
                <w:sz w:val="16"/>
                <w:szCs w:val="16"/>
              </w:rPr>
            </w:pPr>
            <w:r>
              <w:rPr>
                <w:sz w:val="16"/>
                <w:szCs w:val="16"/>
              </w:rPr>
              <w:t>ZBIORNIKI, SILOSY I BUDYNKI MAGAZYNOWE</w:t>
              <w:br/>
              <w:t> </w:t>
            </w:r>
          </w:p>
        </w:tc>
        <w:tc>
          <w:tcPr>
            <w:tcW w:w="8452" w:type="dxa"/>
            <w:tcBorders>
              <w:left w:val="single" w:sz="6" w:space="0" w:color="808080"/>
              <w:bottom w:val="single" w:sz="6" w:space="0" w:color="808080"/>
              <w:right w:val="single" w:sz="6" w:space="0" w:color="808080"/>
            </w:tcBorders>
          </w:tcPr>
          <w:p>
            <w:pPr>
              <w:pStyle w:val="Zawartotabeli"/>
              <w:spacing w:before="0" w:after="0"/>
              <w:rPr>
                <w:sz w:val="16"/>
                <w:szCs w:val="16"/>
              </w:rPr>
            </w:pPr>
            <w:bookmarkStart w:id="3" w:name="104"/>
            <w:bookmarkEnd w:id="3"/>
            <w:r>
              <w:rPr>
                <w:b/>
                <w:sz w:val="16"/>
                <w:szCs w:val="16"/>
              </w:rPr>
              <w:t xml:space="preserve">Rodzaj ten obejmuje: </w:t>
            </w:r>
            <w:r>
              <w:rPr>
                <w:sz w:val="16"/>
                <w:szCs w:val="16"/>
              </w:rPr>
              <w:t>zbiorniki na ciecze, zbiorniki na gazy, zbiorniki na cement i inne towary sypkie, budynki magazynowe, silosy, budynki chłodni i budynki składowe specjalizowane, powierzchnie magazynowe.</w:t>
            </w:r>
          </w:p>
          <w:p>
            <w:pPr>
              <w:pStyle w:val="Zawartotabeli"/>
              <w:spacing w:before="0" w:after="0"/>
              <w:rPr>
                <w:sz w:val="16"/>
                <w:szCs w:val="16"/>
              </w:rPr>
            </w:pPr>
            <w:r>
              <w:rPr>
                <w:b/>
                <w:sz w:val="16"/>
                <w:szCs w:val="16"/>
              </w:rPr>
              <w:t xml:space="preserve">Rodzaj ten nie obejmuje: </w:t>
            </w:r>
            <w:r>
              <w:rPr>
                <w:sz w:val="16"/>
                <w:szCs w:val="16"/>
              </w:rPr>
              <w:t>budynków w gospodarstwach rolnych, w tym budynków magazynowych przeznaczonych do przechowywania zbiorów, sklasyfikowanych w rodzaju 108, terminali ropy i ropopochodnych, sklasyfikowanych w rodzaju 202, wieży ciśnień, sklasyfikowanych w rodzaju 211.</w:t>
            </w:r>
          </w:p>
        </w:tc>
      </w:tr>
      <w:tr>
        <w:trPr/>
        <w:tc>
          <w:tcPr>
            <w:tcW w:w="797" w:type="dxa"/>
            <w:tcBorders>
              <w:left w:val="single" w:sz="6" w:space="0" w:color="808080"/>
              <w:bottom w:val="single" w:sz="6" w:space="0" w:color="808080"/>
            </w:tcBorders>
          </w:tcPr>
          <w:p>
            <w:pPr>
              <w:pStyle w:val="Zawartotabeli"/>
              <w:rPr>
                <w:sz w:val="20"/>
                <w:szCs w:val="20"/>
              </w:rPr>
            </w:pPr>
            <w:r>
              <w:rPr>
                <w:sz w:val="20"/>
                <w:szCs w:val="20"/>
              </w:rPr>
              <w:t>105</w:t>
            </w:r>
          </w:p>
        </w:tc>
        <w:tc>
          <w:tcPr>
            <w:tcW w:w="1472" w:type="dxa"/>
            <w:tcBorders>
              <w:left w:val="single" w:sz="6" w:space="0" w:color="808080"/>
              <w:bottom w:val="single" w:sz="6" w:space="0" w:color="808080"/>
            </w:tcBorders>
          </w:tcPr>
          <w:p>
            <w:pPr>
              <w:pStyle w:val="Zawartotabeli"/>
              <w:rPr>
                <w:sz w:val="16"/>
                <w:szCs w:val="16"/>
              </w:rPr>
            </w:pPr>
            <w:r>
              <w:rPr>
                <w:sz w:val="16"/>
                <w:szCs w:val="16"/>
              </w:rPr>
              <w:t>BUDYNKI BIUROWE</w:t>
            </w:r>
          </w:p>
        </w:tc>
        <w:tc>
          <w:tcPr>
            <w:tcW w:w="8452" w:type="dxa"/>
            <w:tcBorders>
              <w:left w:val="single" w:sz="6" w:space="0" w:color="808080"/>
              <w:bottom w:val="single" w:sz="6" w:space="0" w:color="808080"/>
              <w:right w:val="single" w:sz="6" w:space="0" w:color="808080"/>
            </w:tcBorders>
          </w:tcPr>
          <w:p>
            <w:pPr>
              <w:pStyle w:val="Zawartotabeli"/>
              <w:spacing w:before="0" w:after="0"/>
              <w:rPr>
                <w:sz w:val="16"/>
                <w:szCs w:val="16"/>
              </w:rPr>
            </w:pPr>
            <w:bookmarkStart w:id="4" w:name="105"/>
            <w:bookmarkEnd w:id="4"/>
            <w:r>
              <w:rPr>
                <w:b/>
                <w:sz w:val="16"/>
                <w:szCs w:val="16"/>
              </w:rPr>
              <w:t>Rodzaj ten obejmuje</w:t>
            </w:r>
            <w:r>
              <w:rPr>
                <w:sz w:val="16"/>
                <w:szCs w:val="16"/>
              </w:rPr>
              <w:t xml:space="preserve"> budynki biurowe, w tym: banków, urzędów pocztowych, urzędów miejskich, gminnych, samorządowych, ministerstw itp. budynki o charakterze administracyjnym, przeznaczone na administracyjną obsługę działalności biura, sekretariatu itp., różnych podmiotów gospodarczych, centrów konferencyjnych i kongresów, sądów i parlamentów.</w:t>
            </w:r>
          </w:p>
          <w:p>
            <w:pPr>
              <w:pStyle w:val="Zawartotabeli"/>
              <w:spacing w:before="0" w:after="0"/>
              <w:rPr>
                <w:sz w:val="16"/>
                <w:szCs w:val="16"/>
              </w:rPr>
            </w:pPr>
            <w:r>
              <w:rPr>
                <w:b/>
                <w:sz w:val="16"/>
                <w:szCs w:val="16"/>
              </w:rPr>
              <w:t xml:space="preserve">Rodzaj ten nie obejmuje: </w:t>
            </w:r>
            <w:r>
              <w:rPr>
                <w:sz w:val="16"/>
                <w:szCs w:val="16"/>
              </w:rPr>
              <w:t>lokali biurowych mieszczących się w budynkach przeznaczonych głównie do celów innych niż biurowe, sklasyfikowanych w odpowiednim grupowaniu KŚT, zgodnie z przeznaczeniem tego budynku.</w:t>
            </w:r>
          </w:p>
        </w:tc>
      </w:tr>
      <w:tr>
        <w:trPr/>
        <w:tc>
          <w:tcPr>
            <w:tcW w:w="797" w:type="dxa"/>
            <w:tcBorders>
              <w:left w:val="single" w:sz="6" w:space="0" w:color="808080"/>
              <w:bottom w:val="single" w:sz="6" w:space="0" w:color="808080"/>
            </w:tcBorders>
          </w:tcPr>
          <w:p>
            <w:pPr>
              <w:pStyle w:val="Zawartotabeli"/>
              <w:rPr>
                <w:sz w:val="20"/>
                <w:szCs w:val="20"/>
              </w:rPr>
            </w:pPr>
            <w:r>
              <w:rPr>
                <w:sz w:val="20"/>
                <w:szCs w:val="20"/>
              </w:rPr>
              <w:t>106</w:t>
            </w:r>
          </w:p>
        </w:tc>
        <w:tc>
          <w:tcPr>
            <w:tcW w:w="1472" w:type="dxa"/>
            <w:tcBorders>
              <w:left w:val="single" w:sz="6" w:space="0" w:color="808080"/>
              <w:bottom w:val="single" w:sz="6" w:space="0" w:color="808080"/>
            </w:tcBorders>
          </w:tcPr>
          <w:p>
            <w:pPr>
              <w:pStyle w:val="Zawartotabeli"/>
              <w:rPr>
                <w:sz w:val="16"/>
                <w:szCs w:val="16"/>
              </w:rPr>
            </w:pPr>
            <w:r>
              <w:rPr>
                <w:sz w:val="16"/>
                <w:szCs w:val="16"/>
              </w:rPr>
              <w:t>BUDYNKI SZPITALI I INNE BUDYNKI OPIEKI ZDROWOTNEJ</w:t>
            </w:r>
          </w:p>
        </w:tc>
        <w:tc>
          <w:tcPr>
            <w:tcW w:w="8452" w:type="dxa"/>
            <w:tcBorders>
              <w:left w:val="single" w:sz="6" w:space="0" w:color="808080"/>
              <w:bottom w:val="single" w:sz="6" w:space="0" w:color="808080"/>
              <w:right w:val="single" w:sz="6" w:space="0" w:color="808080"/>
            </w:tcBorders>
          </w:tcPr>
          <w:p>
            <w:pPr>
              <w:pStyle w:val="Zawartotabeli"/>
              <w:spacing w:before="0" w:after="0"/>
              <w:rPr>
                <w:sz w:val="16"/>
                <w:szCs w:val="16"/>
              </w:rPr>
            </w:pPr>
            <w:bookmarkStart w:id="5" w:name="106"/>
            <w:bookmarkEnd w:id="5"/>
            <w:r>
              <w:rPr>
                <w:b/>
                <w:sz w:val="16"/>
                <w:szCs w:val="16"/>
              </w:rPr>
              <w:t xml:space="preserve">Rodzaj ten obejmuje: </w:t>
            </w:r>
            <w:r>
              <w:rPr>
                <w:sz w:val="16"/>
                <w:szCs w:val="16"/>
              </w:rPr>
              <w:t xml:space="preserve">budynki szpitali i zakładów opieki zdrowotnej świadczących usługi medyczne i pielęgnacyjne dla ludzi, takie jak: szpitale miejskie i okręgowe, włączając szpitale więzienne i wojskowe, szpitale uniwersyteckie, </w:t>
            </w:r>
            <w:r>
              <w:rPr>
                <w:sz w:val="16"/>
                <w:szCs w:val="16"/>
              </w:rPr>
              <w:t>s</w:t>
            </w:r>
            <w:r>
              <w:rPr>
                <w:sz w:val="16"/>
                <w:szCs w:val="16"/>
              </w:rPr>
              <w:t>zpitale specjalistyczne, np. szpitale psychiatryczne, zakłady dla osób uzależnionych, szpitale zakaźne, szpitale położnicze, sanatoria, prewentoria, przychodnie, poradnie, ośrodki pomocy społecznej dla matki i dziecka, żłobki, budynki przeznaczone do termoterapii, wodolecznictwa, rehabilitacji, stacji krwiodawstwa, laktariów itp., budynki klinik weterynaryjnych, budynki, inne niż placówki opieki zdrowotnej, w których świadczone są usługi w zakresie opieki zdrowotnej (opieka lekarska i pielęgniarska) wraz z zakwaterowaniem dla osób w podeszłym wieku, osób niepełnosprawnych itp.</w:t>
            </w:r>
          </w:p>
          <w:p>
            <w:pPr>
              <w:pStyle w:val="Zawartotabeli"/>
              <w:spacing w:before="0" w:after="0"/>
              <w:rPr>
                <w:sz w:val="16"/>
                <w:szCs w:val="16"/>
              </w:rPr>
            </w:pPr>
            <w:r>
              <w:rPr>
                <w:b/>
                <w:sz w:val="16"/>
                <w:szCs w:val="16"/>
              </w:rPr>
              <w:t xml:space="preserve">Rodzaj ten nie obejmuje: </w:t>
            </w:r>
            <w:r>
              <w:rPr>
                <w:sz w:val="16"/>
                <w:szCs w:val="16"/>
              </w:rPr>
              <w:t>domów opieki społecznej (bez opieki lekarskiej i pielęgniarskiej) dla osób w podeszłym wieku, osób niepełnosprawnych itp., sklasyfikowanych w podgrupie 11.</w:t>
            </w:r>
          </w:p>
        </w:tc>
      </w:tr>
      <w:tr>
        <w:trPr/>
        <w:tc>
          <w:tcPr>
            <w:tcW w:w="797" w:type="dxa"/>
            <w:tcBorders>
              <w:left w:val="single" w:sz="6" w:space="0" w:color="808080"/>
              <w:bottom w:val="single" w:sz="6" w:space="0" w:color="808080"/>
            </w:tcBorders>
          </w:tcPr>
          <w:p>
            <w:pPr>
              <w:pStyle w:val="Zawartotabeli"/>
              <w:rPr>
                <w:sz w:val="20"/>
                <w:szCs w:val="20"/>
              </w:rPr>
            </w:pPr>
            <w:r>
              <w:rPr>
                <w:sz w:val="20"/>
                <w:szCs w:val="20"/>
              </w:rPr>
              <w:t>107</w:t>
            </w:r>
          </w:p>
        </w:tc>
        <w:tc>
          <w:tcPr>
            <w:tcW w:w="1472" w:type="dxa"/>
            <w:tcBorders>
              <w:left w:val="single" w:sz="6" w:space="0" w:color="808080"/>
              <w:bottom w:val="single" w:sz="6" w:space="0" w:color="808080"/>
            </w:tcBorders>
          </w:tcPr>
          <w:p>
            <w:pPr>
              <w:pStyle w:val="Zawartotabeli"/>
              <w:rPr>
                <w:sz w:val="16"/>
                <w:szCs w:val="16"/>
              </w:rPr>
            </w:pPr>
            <w:r>
              <w:rPr>
                <w:sz w:val="16"/>
                <w:szCs w:val="16"/>
              </w:rPr>
              <w:t>BUDYNKI OŚWIATY, NAUKI I KULTURY ORAZ BUDYNKI SPORTOWE</w:t>
            </w:r>
          </w:p>
        </w:tc>
        <w:tc>
          <w:tcPr>
            <w:tcW w:w="8452" w:type="dxa"/>
            <w:tcBorders>
              <w:left w:val="single" w:sz="6" w:space="0" w:color="808080"/>
              <w:bottom w:val="single" w:sz="6" w:space="0" w:color="808080"/>
              <w:right w:val="single" w:sz="6" w:space="0" w:color="808080"/>
            </w:tcBorders>
          </w:tcPr>
          <w:p>
            <w:pPr>
              <w:pStyle w:val="Zawartotabeli"/>
              <w:spacing w:before="0" w:after="0"/>
              <w:rPr>
                <w:sz w:val="16"/>
                <w:szCs w:val="16"/>
              </w:rPr>
            </w:pPr>
            <w:bookmarkStart w:id="6" w:name="107"/>
            <w:bookmarkEnd w:id="6"/>
            <w:r>
              <w:rPr>
                <w:b/>
                <w:sz w:val="16"/>
                <w:szCs w:val="16"/>
              </w:rPr>
              <w:t>Rodzaj ten obejmuje</w:t>
            </w:r>
            <w:r>
              <w:rPr>
                <w:sz w:val="16"/>
                <w:szCs w:val="16"/>
              </w:rPr>
              <w:t xml:space="preserve"> ogólnodostępne budynki, takie jak budynki: kin, sal koncertowych, oper, teatrów (w tym teatrów muzycznych) itp., domów kultury, wielozadaniowych sal wykorzystywanych głównie do celów rozrywkowych, kasyn, cyrków, sal tanecznych i dyskotek itp., muzeów, galerii sztuki, bibliotek i centrów informacyjnych, archiwów, przedszkoli i szkół, szkół wyższych, placówek badawczych i laboratoriów badawczych, placówek oświatowo-wychowawczych, pracy pozaszkolnej oraz kształcenia ustawicznego, stacji meteorologicznych i hydrologicznych, obserwatoriów, przeznaczone na imprezy sportowe w halach, ogrodów zoologicznych i botanicznych, schronisk dla zwierząt, oraz zadaszone trybuny do oglądania sportów na świeżym powietrzu.</w:t>
            </w:r>
          </w:p>
          <w:p>
            <w:pPr>
              <w:pStyle w:val="Zawartotabeli"/>
              <w:spacing w:before="0" w:after="0"/>
              <w:rPr>
                <w:sz w:val="16"/>
                <w:szCs w:val="16"/>
              </w:rPr>
            </w:pPr>
            <w:r>
              <w:rPr>
                <w:b/>
                <w:sz w:val="16"/>
                <w:szCs w:val="16"/>
              </w:rPr>
              <w:t>Rodzaj ten nie obejmuje:</w:t>
            </w:r>
            <w:r>
              <w:rPr>
                <w:sz w:val="16"/>
                <w:szCs w:val="16"/>
              </w:rPr>
              <w:t>obiektów budowlanych wpisanych do rejestru zabytków i objętych indywidualną ochroną konserwatorską, sklasyfikowanych w rodzaju 109, internatów, które są odrębnymi budynkami szkół, burs oraz domów studenckich, sklasyfikowanych w podgrupie 11, urządzeń parków rozrywkowych i wypoczynkowych, boisk sportowych przeznaczonych do sportów na świeżym powietrzu, np. odkrytych kortów tenisowych, odkrytych basenów itp., sklasyfikowanych w rodzaju 290.</w:t>
            </w:r>
          </w:p>
        </w:tc>
      </w:tr>
      <w:tr>
        <w:trPr/>
        <w:tc>
          <w:tcPr>
            <w:tcW w:w="797" w:type="dxa"/>
            <w:tcBorders>
              <w:left w:val="single" w:sz="6" w:space="0" w:color="808080"/>
              <w:bottom w:val="single" w:sz="6" w:space="0" w:color="808080"/>
            </w:tcBorders>
          </w:tcPr>
          <w:p>
            <w:pPr>
              <w:pStyle w:val="Zawartotabeli"/>
              <w:rPr>
                <w:sz w:val="20"/>
                <w:szCs w:val="20"/>
              </w:rPr>
            </w:pPr>
            <w:r>
              <w:rPr>
                <w:sz w:val="20"/>
                <w:szCs w:val="20"/>
              </w:rPr>
              <w:t>108</w:t>
            </w:r>
          </w:p>
        </w:tc>
        <w:tc>
          <w:tcPr>
            <w:tcW w:w="1472" w:type="dxa"/>
            <w:tcBorders>
              <w:left w:val="single" w:sz="6" w:space="0" w:color="808080"/>
              <w:bottom w:val="single" w:sz="6" w:space="0" w:color="808080"/>
            </w:tcBorders>
          </w:tcPr>
          <w:p>
            <w:pPr>
              <w:pStyle w:val="Zawartotabeli"/>
              <w:rPr>
                <w:sz w:val="16"/>
                <w:szCs w:val="16"/>
              </w:rPr>
            </w:pPr>
            <w:r>
              <w:rPr>
                <w:sz w:val="16"/>
                <w:szCs w:val="16"/>
              </w:rPr>
              <w:t>BUDYNKI PRODUKCYJNE, USŁUGOWE I GOSPODARCZE DLA ROLNICTWA</w:t>
            </w:r>
          </w:p>
        </w:tc>
        <w:tc>
          <w:tcPr>
            <w:tcW w:w="8452" w:type="dxa"/>
            <w:tcBorders>
              <w:left w:val="single" w:sz="6" w:space="0" w:color="808080"/>
              <w:bottom w:val="single" w:sz="6" w:space="0" w:color="808080"/>
              <w:right w:val="single" w:sz="6" w:space="0" w:color="808080"/>
            </w:tcBorders>
          </w:tcPr>
          <w:p>
            <w:pPr>
              <w:pStyle w:val="Zawartotabeli"/>
              <w:spacing w:before="0" w:after="0"/>
              <w:rPr>
                <w:sz w:val="16"/>
                <w:szCs w:val="16"/>
              </w:rPr>
            </w:pPr>
            <w:bookmarkStart w:id="7" w:name="108"/>
            <w:bookmarkEnd w:id="7"/>
            <w:r>
              <w:rPr>
                <w:b/>
                <w:sz w:val="16"/>
                <w:szCs w:val="16"/>
              </w:rPr>
              <w:t xml:space="preserve">Rodzaj ten obejmuje: </w:t>
            </w:r>
            <w:r>
              <w:rPr>
                <w:sz w:val="16"/>
                <w:szCs w:val="16"/>
              </w:rPr>
              <w:t>budynki w gospodarstwach rolnych, tunel foliowy wraz z zasłonami cieniująco-termoizolacyjnymi i komputerami klimatycznymi, silosy zbożowe w gospodarstwach rolnych, pozostałe budynki przeznaczone dla działalności rolniczej, np. obory, stajnie, budynki inwentarskie dla trzody chlewnej, owczarnie, przemysłowe fermy drobiu, stodoły, pomieszczenia do przechowywania sprzętu, spichlerze, szopy rolnicze, spiżarnie, piwnice do przechowywania wina, szklarnie itp.</w:t>
            </w:r>
          </w:p>
          <w:p>
            <w:pPr>
              <w:pStyle w:val="Zawartotabeli"/>
              <w:spacing w:before="0" w:after="0"/>
              <w:rPr>
                <w:sz w:val="16"/>
                <w:szCs w:val="16"/>
              </w:rPr>
            </w:pPr>
            <w:r>
              <w:rPr>
                <w:b/>
                <w:sz w:val="16"/>
                <w:szCs w:val="16"/>
              </w:rPr>
              <w:t xml:space="preserve">Rodzaj ten nie obejmuje: </w:t>
            </w:r>
            <w:r>
              <w:rPr>
                <w:sz w:val="16"/>
                <w:szCs w:val="16"/>
              </w:rPr>
              <w:t>urządzeń ogrodów zoologicznych i botanicznych, sklasyfikowanych w rodzaju 290.</w:t>
            </w:r>
          </w:p>
        </w:tc>
      </w:tr>
      <w:tr>
        <w:trPr/>
        <w:tc>
          <w:tcPr>
            <w:tcW w:w="797" w:type="dxa"/>
            <w:tcBorders>
              <w:left w:val="single" w:sz="6" w:space="0" w:color="808080"/>
              <w:bottom w:val="single" w:sz="6" w:space="0" w:color="808080"/>
            </w:tcBorders>
          </w:tcPr>
          <w:p>
            <w:pPr>
              <w:pStyle w:val="Zawartotabeli"/>
              <w:rPr>
                <w:sz w:val="20"/>
                <w:szCs w:val="20"/>
              </w:rPr>
            </w:pPr>
            <w:r>
              <w:rPr>
                <w:sz w:val="20"/>
                <w:szCs w:val="20"/>
              </w:rPr>
              <w:t>109</w:t>
            </w:r>
          </w:p>
        </w:tc>
        <w:tc>
          <w:tcPr>
            <w:tcW w:w="1472" w:type="dxa"/>
            <w:tcBorders>
              <w:left w:val="single" w:sz="6" w:space="0" w:color="808080"/>
              <w:bottom w:val="single" w:sz="6" w:space="0" w:color="808080"/>
            </w:tcBorders>
          </w:tcPr>
          <w:p>
            <w:pPr>
              <w:pStyle w:val="Zawartotabeli"/>
              <w:rPr>
                <w:sz w:val="16"/>
                <w:szCs w:val="16"/>
              </w:rPr>
            </w:pPr>
            <w:r>
              <w:rPr>
                <w:sz w:val="16"/>
                <w:szCs w:val="16"/>
              </w:rPr>
              <w:t>POZOSTAŁE BUDYNKI NIEMIESZKALNE</w:t>
              <w:br/>
            </w:r>
          </w:p>
        </w:tc>
        <w:tc>
          <w:tcPr>
            <w:tcW w:w="8452" w:type="dxa"/>
            <w:tcBorders>
              <w:left w:val="single" w:sz="6" w:space="0" w:color="808080"/>
              <w:bottom w:val="single" w:sz="6" w:space="0" w:color="808080"/>
              <w:right w:val="single" w:sz="6" w:space="0" w:color="808080"/>
            </w:tcBorders>
          </w:tcPr>
          <w:p>
            <w:pPr>
              <w:pStyle w:val="Zawartotabeli"/>
              <w:spacing w:before="0" w:after="0"/>
              <w:rPr>
                <w:sz w:val="16"/>
                <w:szCs w:val="16"/>
              </w:rPr>
            </w:pPr>
            <w:bookmarkStart w:id="8" w:name="109"/>
            <w:bookmarkEnd w:id="8"/>
            <w:r>
              <w:rPr>
                <w:b/>
                <w:sz w:val="16"/>
                <w:szCs w:val="16"/>
              </w:rPr>
              <w:t xml:space="preserve">Rodzaj ten obejmuje: </w:t>
            </w:r>
            <w:r>
              <w:rPr>
                <w:sz w:val="16"/>
                <w:szCs w:val="16"/>
              </w:rPr>
              <w:t>hotele i podobne budynki krótkotrwałego zakwaterowania, z wyłączeniem hoteli robotniczych sklasyfikowanych w rodzaju 110, schroniska młodzieżowe, górskie, domki kempingowe, domy wypoczynkowe oraz pozostałe budynki zakwaterowania turystycznego, restauracje, bary, stołówki, budynki przeznaczone do sprawowania kultu religijnego i czynności religijnych w tym: kościoły, kaplice, cerkwie, meczety, synagogi itp., cmentarze i obiekty z nimi związane, domy pogrzebowe, krematoria, obiekty budowlane wpisane do rejestru zabytków i objęte indywidualną ochroną konserwatorską oraz nieruchome archeologiczne dobra kultury, budynki niemieszkalne na terenie zakładów karnych i poprawczych, aresztów śledczych, schronisk dla nieletnich, budynki koszarowe, obiekty miejskie użyteczności publicznej, takie jak wiaty autobusowe, toalety publiczne, łaźnie itp., groty solne stanowiące samodzielne budynki, pozostałe budynki niemieszkalne, gdzie indziej niesklasyfikowane.</w:t>
            </w:r>
          </w:p>
          <w:p>
            <w:pPr>
              <w:pStyle w:val="Zawartotabeli"/>
              <w:spacing w:before="0" w:after="0"/>
              <w:rPr>
                <w:sz w:val="16"/>
                <w:szCs w:val="16"/>
              </w:rPr>
            </w:pPr>
            <w:r>
              <w:rPr>
                <w:b/>
                <w:sz w:val="16"/>
                <w:szCs w:val="16"/>
              </w:rPr>
              <w:t xml:space="preserve">Rodzaj ten nie obejmuje: </w:t>
            </w:r>
            <w:r>
              <w:rPr>
                <w:sz w:val="16"/>
                <w:szCs w:val="16"/>
              </w:rPr>
              <w:t>budek telefonicznych, sklasyfikowanych w rodzaju 102, restauracji, barów itp. w centrach handlowych, sklasyfikowanych w rodzaju 103, szpitali więziennych i wojskowych, sklasyfikowanych w rodzaju 106, budynków kultu religijnego wykorzystywanych jako muzea, sklasyfikowanych w rodzaju 107, restauracji, barów itp. w budynkach mieszkalnych, sklasyfikowanych w rodzaju 110, budynków mieszkalnych na terenie koszar, zakładów karnych i poprawczych, aresztów śledczych, sklasyfikowanych w rodzaju 110, budowli wojskowych, sklasyfikowanych w rodzaju 291.</w:t>
            </w:r>
          </w:p>
        </w:tc>
      </w:tr>
      <w:tr>
        <w:trPr/>
        <w:tc>
          <w:tcPr>
            <w:tcW w:w="797" w:type="dxa"/>
            <w:tcBorders>
              <w:left w:val="single" w:sz="6" w:space="0" w:color="808080"/>
              <w:bottom w:val="single" w:sz="6" w:space="0" w:color="808080"/>
            </w:tcBorders>
          </w:tcPr>
          <w:p>
            <w:pPr>
              <w:pStyle w:val="Zawartotabeli"/>
              <w:widowControl/>
              <w:suppressLineNumbers/>
              <w:suppressAutoHyphens w:val="true"/>
              <w:bidi w:val="0"/>
              <w:ind w:left="-567" w:right="0" w:hanging="0"/>
              <w:rPr>
                <w:sz w:val="20"/>
                <w:szCs w:val="20"/>
              </w:rPr>
            </w:pPr>
            <w:r>
              <w:rPr>
                <w:sz w:val="20"/>
                <w:szCs w:val="20"/>
              </w:rPr>
              <w:t xml:space="preserve">110 </w:t>
            </w:r>
            <w:r>
              <w:rPr>
                <w:sz w:val="20"/>
                <w:szCs w:val="20"/>
              </w:rPr>
              <w:t>11110</w:t>
            </w:r>
          </w:p>
        </w:tc>
        <w:tc>
          <w:tcPr>
            <w:tcW w:w="1472" w:type="dxa"/>
            <w:tcBorders>
              <w:left w:val="single" w:sz="6" w:space="0" w:color="808080"/>
              <w:bottom w:val="single" w:sz="6" w:space="0" w:color="808080"/>
            </w:tcBorders>
          </w:tcPr>
          <w:p>
            <w:pPr>
              <w:pStyle w:val="Zawartotabeli"/>
              <w:rPr>
                <w:sz w:val="16"/>
                <w:szCs w:val="16"/>
              </w:rPr>
            </w:pPr>
            <w:r>
              <w:rPr>
                <w:sz w:val="16"/>
                <w:szCs w:val="16"/>
              </w:rPr>
              <w:t xml:space="preserve">BUDYNKI MIESZKALNE </w:t>
            </w:r>
          </w:p>
        </w:tc>
        <w:tc>
          <w:tcPr>
            <w:tcW w:w="8452" w:type="dxa"/>
            <w:tcBorders>
              <w:left w:val="single" w:sz="6" w:space="0" w:color="808080"/>
              <w:bottom w:val="single" w:sz="6" w:space="0" w:color="808080"/>
              <w:right w:val="single" w:sz="6" w:space="0" w:color="808080"/>
            </w:tcBorders>
          </w:tcPr>
          <w:p>
            <w:pPr>
              <w:pStyle w:val="Tretekstu"/>
              <w:spacing w:lineRule="exact" w:line="170" w:before="0" w:after="55"/>
              <w:rPr>
                <w:sz w:val="16"/>
                <w:szCs w:val="16"/>
              </w:rPr>
            </w:pPr>
            <w:r>
              <w:rPr>
                <w:rFonts w:eastAsia="Times New Roman" w:cs="Times New Roman"/>
                <w:b/>
                <w:color w:val="auto"/>
                <w:sz w:val="16"/>
                <w:szCs w:val="16"/>
                <w:lang w:val="pl-PL" w:eastAsia="zh-CN" w:bidi="ar-SA"/>
              </w:rPr>
              <w:t>Rodzaj ten obejmuje</w:t>
            </w:r>
            <w:r>
              <w:rPr>
                <w:rFonts w:eastAsia="Times New Roman" w:cs="Times New Roman"/>
                <w:color w:val="auto"/>
                <w:sz w:val="16"/>
                <w:szCs w:val="16"/>
                <w:lang w:val="pl-PL" w:eastAsia="zh-CN" w:bidi="ar-SA"/>
              </w:rPr>
              <w:t xml:space="preserve"> budynki, których co najmniej połowa całkowitej powierzchni użytkowej jest wykorzystywana do celów mieszkalnych, takie jak: budynki jednorodzinne (wolnostojące lub w zabudowie bliźniaczej, szeregowej albo grupowej posiadające własne wejście z poziomu gruntu), budynki o dwóch mieszkaniach (wolnostojące lub w zabudowie bliźniaczej, szeregowej albo grupowej o dwóch mieszkaniach), budynki o trzech i więcej mieszkaniach, domy opieki społecznej (bez opieki medycznej), hotele robotnicze, domy dziecka, internaty i bursy szkolne, domy studenckie, placówki opiekuńczo-wychowawcze, domy dla bezdomnych i tym podobne budynki zbiorowego zamieszkania dla ludzi starszych, studentów, dzieci i innych grup społecznych, budynki mieszkalne na terenie koszar, zakładów karnych i poprawczych, aresztów śledczych, budynki rezydencji prezydenckich i biskupich.                                                                                                                                                                                       </w:t>
            </w:r>
            <w:r>
              <w:rPr>
                <w:rFonts w:eastAsia="Times New Roman" w:cs="Times New Roman"/>
                <w:b/>
                <w:color w:val="auto"/>
                <w:sz w:val="16"/>
                <w:szCs w:val="16"/>
                <w:lang w:val="pl-PL" w:eastAsia="zh-CN" w:bidi="ar-SA"/>
              </w:rPr>
              <w:t xml:space="preserve">Rodzaj ten nie obejmuje: </w:t>
            </w:r>
            <w:r>
              <w:rPr>
                <w:rFonts w:eastAsia="Times New Roman" w:cs="Times New Roman"/>
                <w:color w:val="auto"/>
                <w:sz w:val="16"/>
                <w:szCs w:val="16"/>
                <w:lang w:val="pl-PL" w:eastAsia="zh-CN" w:bidi="ar-SA"/>
              </w:rPr>
              <w:t>budynków szpitali, klinik i innych budynków w zakresie opieki zdrowotnej, sklasyfikowanych w rodzaju 106, hoteli i podobnych budynków krótkotrwałego zakwaterowania, sklasyfikowanych w rodzaju 109,budynków niemieszkalnych na terenie koszar, zakładów karnych i poprawczych, aresztów śledczych, sklasyfikowanych w rodzaju 109.</w:t>
            </w:r>
          </w:p>
        </w:tc>
      </w:tr>
    </w:tbl>
    <w:p>
      <w:pPr>
        <w:pStyle w:val="Normal"/>
        <w:spacing w:lineRule="exact" w:line="240"/>
        <w:ind w:left="0" w:right="0" w:hanging="0"/>
        <w:rPr>
          <w:sz w:val="20"/>
          <w:szCs w:val="20"/>
        </w:rPr>
      </w:pPr>
      <w:r>
        <w:rPr>
          <w:sz w:val="20"/>
          <w:szCs w:val="20"/>
        </w:rPr>
      </w:r>
    </w:p>
    <w:sectPr>
      <w:type w:val="nextPage"/>
      <w:pgSz w:w="11906" w:h="16838"/>
      <w:pgMar w:left="1417" w:right="483" w:header="0" w:top="540"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1080" w:hanging="0"/>
      </w:pPr>
      <w:rPr>
        <w:color w:val="FFFFFF"/>
      </w:rPr>
    </w:lvl>
    <w:lvl w:ilvl="1">
      <w:start w:val="1"/>
      <w:pStyle w:val="Nagwek2"/>
      <w:numFmt w:val="none"/>
      <w:suff w:val="nothing"/>
      <w:lvlText w:val="."/>
      <w:lvlJc w:val="left"/>
      <w:pPr>
        <w:tabs>
          <w:tab w:val="num" w:pos="0"/>
        </w:tabs>
        <w:ind w:left="1080" w:hanging="0"/>
      </w:pPr>
      <w:rPr/>
    </w:lvl>
    <w:lvl w:ilvl="2">
      <w:start w:val="1"/>
      <w:pStyle w:val="Nagwek3"/>
      <w:numFmt w:val="none"/>
      <w:suff w:val="nothing"/>
      <w:lvlText w:val="."/>
      <w:lvlJc w:val="left"/>
      <w:pPr>
        <w:tabs>
          <w:tab w:val="num" w:pos="0"/>
        </w:tabs>
        <w:ind w:left="1080" w:hanging="0"/>
      </w:pPr>
      <w:rPr/>
    </w:lvl>
    <w:lvl w:ilvl="3">
      <w:start w:val="1"/>
      <w:pStyle w:val="Nagwek4"/>
      <w:numFmt w:val="none"/>
      <w:suff w:val="nothing"/>
      <w:lvlText w:val="."/>
      <w:lvlJc w:val="left"/>
      <w:pPr>
        <w:tabs>
          <w:tab w:val="num" w:pos="0"/>
        </w:tabs>
        <w:ind w:left="1080" w:hanging="0"/>
      </w:pPr>
      <w:rPr/>
    </w:lvl>
    <w:lvl w:ilvl="4">
      <w:start w:val="1"/>
      <w:pStyle w:val="Nagwek5"/>
      <w:numFmt w:val="none"/>
      <w:suff w:val="nothing"/>
      <w:lvlText w:val="."/>
      <w:lvlJc w:val="left"/>
      <w:pPr>
        <w:tabs>
          <w:tab w:val="num" w:pos="0"/>
        </w:tabs>
        <w:ind w:left="1080" w:hanging="0"/>
      </w:pPr>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0"/>
  <w:displayBackgroundShape/>
  <w:defaultTabStop w:val="4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pl-PL" w:eastAsia="zh-CN" w:bidi="ar-SA"/>
    </w:rPr>
  </w:style>
  <w:style w:type="paragraph" w:styleId="Nagwek1">
    <w:name w:val="Heading 1"/>
    <w:basedOn w:val="Normal"/>
    <w:next w:val="Normal"/>
    <w:qFormat/>
    <w:pPr>
      <w:keepNext w:val="true"/>
      <w:numPr>
        <w:ilvl w:val="0"/>
        <w:numId w:val="1"/>
      </w:numPr>
      <w:jc w:val="center"/>
      <w:outlineLvl w:val="0"/>
    </w:pPr>
    <w:rPr>
      <w:rFonts w:ascii="Arial" w:hAnsi="Arial" w:cs="Arial"/>
      <w:b/>
      <w:bCs/>
      <w:sz w:val="20"/>
    </w:rPr>
  </w:style>
  <w:style w:type="paragraph" w:styleId="Nagwek2">
    <w:name w:val="Heading 2"/>
    <w:basedOn w:val="Normal"/>
    <w:next w:val="Normal"/>
    <w:qFormat/>
    <w:pPr>
      <w:keepNext w:val="true"/>
      <w:numPr>
        <w:ilvl w:val="1"/>
        <w:numId w:val="1"/>
      </w:numPr>
      <w:tabs>
        <w:tab w:val="clear" w:pos="408"/>
        <w:tab w:val="left" w:pos="470" w:leader="none"/>
      </w:tabs>
      <w:jc w:val="center"/>
      <w:outlineLvl w:val="1"/>
    </w:pPr>
    <w:rPr>
      <w:rFonts w:ascii="Arial" w:hAnsi="Arial" w:cs="Arial"/>
      <w:b/>
      <w:bCs/>
      <w:sz w:val="12"/>
    </w:rPr>
  </w:style>
  <w:style w:type="paragraph" w:styleId="Nagwek3">
    <w:name w:val="Heading 3"/>
    <w:basedOn w:val="Normal"/>
    <w:next w:val="Normal"/>
    <w:qFormat/>
    <w:pPr>
      <w:keepNext w:val="true"/>
      <w:numPr>
        <w:ilvl w:val="2"/>
        <w:numId w:val="1"/>
      </w:numPr>
      <w:jc w:val="center"/>
      <w:outlineLvl w:val="2"/>
    </w:pPr>
    <w:rPr>
      <w:rFonts w:ascii="Arial" w:hAnsi="Arial" w:cs="Arial"/>
      <w:b/>
      <w:bCs/>
      <w:sz w:val="16"/>
    </w:rPr>
  </w:style>
  <w:style w:type="paragraph" w:styleId="Nagwek4">
    <w:name w:val="Heading 4"/>
    <w:basedOn w:val="Normal"/>
    <w:next w:val="Normal"/>
    <w:qFormat/>
    <w:pPr>
      <w:keepNext w:val="true"/>
      <w:numPr>
        <w:ilvl w:val="3"/>
        <w:numId w:val="1"/>
      </w:numPr>
      <w:jc w:val="center"/>
      <w:outlineLvl w:val="3"/>
    </w:pPr>
    <w:rPr>
      <w:rFonts w:ascii="Arial" w:hAnsi="Arial" w:cs="Arial"/>
      <w:b/>
      <w:bCs/>
      <w:sz w:val="18"/>
    </w:rPr>
  </w:style>
  <w:style w:type="paragraph" w:styleId="Nagwek5">
    <w:name w:val="Heading 5"/>
    <w:basedOn w:val="Normal"/>
    <w:next w:val="Normal"/>
    <w:qFormat/>
    <w:pPr>
      <w:keepNext w:val="true"/>
      <w:numPr>
        <w:ilvl w:val="4"/>
        <w:numId w:val="1"/>
      </w:numPr>
      <w:spacing w:lineRule="auto" w:line="360"/>
      <w:ind w:left="708" w:right="0" w:firstLine="708"/>
      <w:outlineLvl w:val="4"/>
    </w:pPr>
    <w:rPr>
      <w:rFonts w:ascii="Arial" w:hAnsi="Arial" w:cs="Arial"/>
      <w:b/>
      <w:bCs/>
    </w:rPr>
  </w:style>
  <w:style w:type="character" w:styleId="WW8Num1z0">
    <w:name w:val="WW8Num1z0"/>
    <w:qFormat/>
    <w:rPr>
      <w:color w:val="FFFFFF"/>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omylnaczcionkaakapitu">
    <w:name w:val="Domyślna czcionka akapitu"/>
    <w:qFormat/>
    <w:rPr/>
  </w:style>
  <w:style w:type="character" w:styleId="AbsatzStandardschriftart">
    <w:name w:val="Absatz-Standardschriftart"/>
    <w:qFormat/>
    <w:rPr/>
  </w:style>
  <w:style w:type="character" w:styleId="WWDomylnaczcionkaakapitu">
    <w:name w:val="WW-Domyślna czcionka akapitu"/>
    <w:qFormat/>
    <w:rPr/>
  </w:style>
  <w:style w:type="character" w:styleId="Domylnaczcionkaakapitu1">
    <w:name w:val="Domyślna czcionka akapitu1"/>
    <w:qFormat/>
    <w:rPr/>
  </w:style>
  <w:style w:type="paragraph" w:styleId="Nagwek">
    <w:name w:val="Nagłówek"/>
    <w:basedOn w:val="Normal"/>
    <w:next w:val="Podtytu"/>
    <w:qFormat/>
    <w:pPr>
      <w:jc w:val="center"/>
    </w:pPr>
    <w:rPr>
      <w:rFonts w:ascii="Arial" w:hAnsi="Arial" w:cs="Arial"/>
      <w:b/>
      <w:bCs/>
    </w:rPr>
  </w:style>
  <w:style w:type="paragraph" w:styleId="Tretekstu">
    <w:name w:val="Body Text"/>
    <w:basedOn w:val="Normal"/>
    <w:pPr>
      <w:spacing w:before="0" w:after="120"/>
    </w:pPr>
    <w:rPr/>
  </w:style>
  <w:style w:type="paragraph" w:styleId="Lista">
    <w:name w:val="List"/>
    <w:basedOn w:val="Tretekstu"/>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Tahoma"/>
    </w:rPr>
  </w:style>
  <w:style w:type="paragraph" w:styleId="Podpis">
    <w:name w:val="Signature"/>
    <w:basedOn w:val="Normal"/>
    <w:pPr>
      <w:suppressLineNumbers/>
      <w:spacing w:before="120" w:after="120"/>
    </w:pPr>
    <w:rPr>
      <w:rFonts w:cs="Arial"/>
      <w:i/>
      <w:iCs/>
      <w:sz w:val="24"/>
      <w:szCs w:val="24"/>
    </w:rPr>
  </w:style>
  <w:style w:type="paragraph" w:styleId="Gwkaistopka">
    <w:name w:val="Główka i stopka"/>
    <w:basedOn w:val="Normal"/>
    <w:qFormat/>
    <w:pPr>
      <w:suppressLineNumbers/>
      <w:tabs>
        <w:tab w:val="clear" w:pos="408"/>
        <w:tab w:val="center" w:pos="4819" w:leader="none"/>
        <w:tab w:val="right" w:pos="9638" w:leader="none"/>
      </w:tabs>
    </w:pPr>
    <w:rPr/>
  </w:style>
  <w:style w:type="paragraph" w:styleId="Gwka">
    <w:name w:val="Header"/>
    <w:basedOn w:val="Normal"/>
    <w:next w:val="Tretekstu"/>
    <w:pPr>
      <w:keepNext w:val="true"/>
      <w:spacing w:before="240" w:after="120"/>
    </w:pPr>
    <w:rPr>
      <w:rFonts w:ascii="Arial" w:hAnsi="Arial" w:eastAsia="MS Mincho;ＭＳ 明朝" w:cs="Tahoma"/>
      <w:sz w:val="28"/>
      <w:szCs w:val="28"/>
    </w:rPr>
  </w:style>
  <w:style w:type="paragraph" w:styleId="Sygnatura">
    <w:name w:val="Sygnatura"/>
    <w:basedOn w:val="Normal"/>
    <w:qFormat/>
    <w:pPr>
      <w:suppressLineNumbers/>
      <w:spacing w:before="120" w:after="120"/>
    </w:pPr>
    <w:rPr>
      <w:rFonts w:cs="Tahoma"/>
      <w:i/>
      <w:iCs/>
      <w:sz w:val="24"/>
      <w:szCs w:val="24"/>
    </w:rPr>
  </w:style>
  <w:style w:type="paragraph" w:styleId="Nagwek11">
    <w:name w:val="Nagłówek1"/>
    <w:basedOn w:val="Normal"/>
    <w:next w:val="Tretekstu"/>
    <w:qFormat/>
    <w:pPr>
      <w:keepNext w:val="true"/>
      <w:spacing w:before="240" w:after="120"/>
    </w:pPr>
    <w:rPr>
      <w:rFonts w:ascii="Arial" w:hAnsi="Arial" w:eastAsia="MS Mincho;ＭＳ 明朝" w:cs="Tahoma"/>
      <w:sz w:val="28"/>
      <w:szCs w:val="28"/>
    </w:rPr>
  </w:style>
  <w:style w:type="paragraph" w:styleId="Podpis1">
    <w:name w:val="Podpis1"/>
    <w:basedOn w:val="Normal"/>
    <w:qFormat/>
    <w:pPr>
      <w:suppressLineNumbers/>
      <w:spacing w:before="120" w:after="120"/>
    </w:pPr>
    <w:rPr>
      <w:rFonts w:cs="Tahoma"/>
      <w:i/>
      <w:iCs/>
      <w:sz w:val="24"/>
      <w:szCs w:val="24"/>
    </w:rPr>
  </w:style>
  <w:style w:type="paragraph" w:styleId="Podtytu">
    <w:name w:val="Subtitle"/>
    <w:basedOn w:val="Nagwek11"/>
    <w:next w:val="Tretekstu"/>
    <w:qFormat/>
    <w:pPr>
      <w:jc w:val="center"/>
    </w:pPr>
    <w:rPr>
      <w:i/>
      <w:iCs/>
      <w:sz w:val="28"/>
      <w:szCs w:val="28"/>
    </w:rPr>
  </w:style>
  <w:style w:type="paragraph" w:styleId="NormalnyWeb">
    <w:name w:val="Normalny (Web)"/>
    <w:basedOn w:val="Normal"/>
    <w:qFormat/>
    <w:pPr>
      <w:spacing w:before="280" w:after="280"/>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Tretekstu"/>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138</TotalTime>
  <Application>LibreOffice/7.0.4.2$Windows_X86_64 LibreOffice_project/dcf040e67528d9187c66b2379df5ea4407429775</Application>
  <AppVersion>15.0000</AppVersion>
  <Pages>2</Pages>
  <Words>1215</Words>
  <Characters>8960</Characters>
  <CharactersWithSpaces>10731</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2008-04-25T10:44:00Z</dcterms:created>
  <dc:creator>komputer</dc:creator>
  <dc:description/>
  <dc:language>pl-PL</dc:language>
  <cp:lastModifiedBy/>
  <cp:lastPrinted>2021-08-16T11:44:25Z</cp:lastPrinted>
  <dcterms:modified xsi:type="dcterms:W3CDTF">2021-08-17T10:57:59Z</dcterms:modified>
  <cp:revision>32</cp:revision>
  <dc:subject/>
  <dc:title>Wykaz zmian danych ewidencyjnych dla budynku</dc:title>
</cp:coreProperties>
</file>