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8C3" w:rsidRDefault="00DB61A6">
      <w:pPr>
        <w:ind w:left="-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AKADEMIA MIASTO</w:t>
      </w:r>
      <w:r>
        <w:rPr>
          <w:sz w:val="28"/>
          <w:szCs w:val="28"/>
        </w:rPr>
        <w:br/>
        <w:t xml:space="preserve">Scenariusz zajęć edukacji obywatelskiej </w:t>
      </w:r>
    </w:p>
    <w:p w:rsidR="001F58C3" w:rsidRDefault="00DB61A6">
      <w:pPr>
        <w:ind w:left="-708"/>
        <w:jc w:val="center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Autorka: </w:t>
      </w:r>
      <w:r>
        <w:rPr>
          <w:color w:val="00000A"/>
          <w:sz w:val="28"/>
          <w:szCs w:val="28"/>
        </w:rPr>
        <w:t>Emilia Czerwińska</w:t>
      </w:r>
    </w:p>
    <w:p w:rsidR="001F58C3" w:rsidRDefault="001F58C3">
      <w:pPr>
        <w:ind w:left="-708"/>
        <w:jc w:val="center"/>
        <w:rPr>
          <w:color w:val="00000A"/>
          <w:sz w:val="28"/>
          <w:szCs w:val="28"/>
        </w:rPr>
      </w:pPr>
    </w:p>
    <w:p w:rsidR="001F58C3" w:rsidRDefault="001F58C3">
      <w:pPr>
        <w:ind w:left="-708"/>
        <w:jc w:val="center"/>
        <w:rPr>
          <w:sz w:val="28"/>
          <w:szCs w:val="28"/>
        </w:rPr>
      </w:pPr>
    </w:p>
    <w:tbl>
      <w:tblPr>
        <w:tblStyle w:val="a"/>
        <w:tblpPr w:leftFromText="141" w:rightFromText="141" w:vertAnchor="text" w:tblpX="705"/>
        <w:tblW w:w="6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3"/>
        <w:gridCol w:w="5387"/>
      </w:tblGrid>
      <w:tr w:rsidR="001F58C3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8C3" w:rsidRDefault="00DB61A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8000" cy="288000"/>
                  <wp:effectExtent l="0" t="0" r="0" b="0"/>
                  <wp:docPr id="126887168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8000" cy="288000"/>
                  <wp:effectExtent l="0" t="0" r="0" b="0"/>
                  <wp:docPr id="126887169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8C3" w:rsidRDefault="00DB6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Publikacja jest licencjonowana na zasadach Creative </w:t>
            </w:r>
            <w:proofErr w:type="spellStart"/>
            <w:r>
              <w:rPr>
                <w:sz w:val="24"/>
                <w:szCs w:val="24"/>
              </w:rPr>
              <w:t>Commons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Uznan</w:t>
            </w:r>
            <w:r w:rsidR="009E69A2">
              <w:rPr>
                <w:sz w:val="24"/>
                <w:szCs w:val="24"/>
              </w:rPr>
              <w:t>ie autorstwa 4.0 Międzynarodowe</w:t>
            </w:r>
            <w:r w:rsidR="009E69A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(CC-BY-4.0)</w:t>
            </w:r>
          </w:p>
        </w:tc>
      </w:tr>
    </w:tbl>
    <w:p w:rsidR="001F58C3" w:rsidRDefault="001F58C3">
      <w:pPr>
        <w:jc w:val="center"/>
        <w:rPr>
          <w:sz w:val="28"/>
          <w:szCs w:val="28"/>
        </w:rPr>
      </w:pPr>
    </w:p>
    <w:p w:rsidR="001F58C3" w:rsidRDefault="001F58C3"/>
    <w:p w:rsidR="001F58C3" w:rsidRDefault="001F58C3"/>
    <w:p w:rsidR="001F58C3" w:rsidRDefault="001F58C3"/>
    <w:p w:rsidR="001F58C3" w:rsidRDefault="001F58C3"/>
    <w:p w:rsidR="001F58C3" w:rsidRDefault="001F58C3"/>
    <w:tbl>
      <w:tblPr>
        <w:tblStyle w:val="a0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1F58C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  <w:rPr>
                <w:b/>
              </w:rPr>
            </w:pPr>
            <w:r>
              <w:rPr>
                <w:b/>
              </w:rPr>
              <w:t>Temat warsztatu</w:t>
            </w:r>
          </w:p>
        </w:tc>
      </w:tr>
      <w:tr w:rsidR="001F58C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r>
              <w:rPr>
                <w:color w:val="000000"/>
              </w:rPr>
              <w:t>CIUCH reaktywacja</w:t>
            </w:r>
          </w:p>
        </w:tc>
      </w:tr>
      <w:tr w:rsidR="001F58C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  <w:rPr>
                <w:b/>
              </w:rPr>
            </w:pPr>
            <w:r>
              <w:rPr>
                <w:b/>
              </w:rPr>
              <w:t>Czas trwania warsztatu</w:t>
            </w:r>
          </w:p>
        </w:tc>
      </w:tr>
      <w:tr w:rsidR="001F58C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Wymiana ubrań: cały dzień</w:t>
            </w:r>
          </w:p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Część teoretyczna: 10 minut</w:t>
            </w:r>
          </w:p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Część praktyczna: 60 minut</w:t>
            </w:r>
          </w:p>
        </w:tc>
      </w:tr>
      <w:tr w:rsidR="001F58C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  <w:rPr>
                <w:b/>
              </w:rPr>
            </w:pPr>
            <w:r>
              <w:rPr>
                <w:b/>
              </w:rPr>
              <w:t>Osoby uczestniczące</w:t>
            </w:r>
          </w:p>
        </w:tc>
      </w:tr>
      <w:tr w:rsidR="001F58C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Scenariusz został przygotowany dla osób w wieku 10-30 lat. Podczas zajęć warsztatowych osoby uczestniczące będą pracować indywidualnie.</w:t>
            </w:r>
          </w:p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Podejmowany temat sprawdzi się najlepiej podczas pracy z grupą osób 7-15 osób, jeśli są to osoby bez specjalnych potrzeb</w:t>
            </w:r>
            <w:r>
              <w:rPr>
                <w:color w:val="000000"/>
              </w:rPr>
              <w:t xml:space="preserve">. </w:t>
            </w:r>
          </w:p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Sugerowana wielkość grupy uzależniona jest od wieku uczestników</w:t>
            </w:r>
            <w:r>
              <w:rPr>
                <w:color w:val="000000"/>
              </w:rPr>
              <w:br/>
              <w:t xml:space="preserve"> i uczestniczek, możliwości lokalowych, a także w przypadku większych grup zalecany asystent/asystentka prowadzącego/prowadzącej, by pomagać w realizacji warsztatów.</w:t>
            </w:r>
          </w:p>
        </w:tc>
      </w:tr>
      <w:tr w:rsidR="001F58C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  <w:rPr>
                <w:b/>
              </w:rPr>
            </w:pPr>
            <w:r>
              <w:rPr>
                <w:b/>
              </w:rPr>
              <w:t>Cele warsztatu</w:t>
            </w:r>
          </w:p>
        </w:tc>
      </w:tr>
      <w:tr w:rsidR="001F58C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r>
              <w:t>- zapoznanie osób uczestniczących w warsztacie z ideą ponownego wykorzystywania materiałów tekstylnych oraz zmniejszenie negatywnego wpływu przemysłu odzieżowego na środowisko</w:t>
            </w:r>
          </w:p>
          <w:p w:rsidR="001F58C3" w:rsidRDefault="00DB61A6">
            <w:r>
              <w:t>- promowanie świadomej postawy obywatelskiej oraz ekologii poprzez edukację w za</w:t>
            </w:r>
            <w:r>
              <w:t>kresie zrównoważonej mody i przemysłu odzieżowego</w:t>
            </w:r>
          </w:p>
          <w:p w:rsidR="001F58C3" w:rsidRDefault="00DB61A6">
            <w:pPr>
              <w:rPr>
                <w:sz w:val="24"/>
                <w:szCs w:val="24"/>
              </w:rPr>
            </w:pPr>
            <w:r>
              <w:t>- poszerzenie wiedzy osób uczestniczących w warsztacie na temat możliwości samodzielnego przedłużania trwałości posiadanych tekstyliów</w:t>
            </w:r>
          </w:p>
        </w:tc>
      </w:tr>
      <w:tr w:rsidR="001F58C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Cele szczegółowe</w:t>
            </w:r>
          </w:p>
        </w:tc>
      </w:tr>
      <w:tr w:rsidR="001F58C3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osoba uczestnicząca w warsztacie zauważa potrzebę zrównoważonej mody i przemysłu odzieżowego</w:t>
            </w:r>
          </w:p>
          <w:p w:rsidR="001F58C3" w:rsidRDefault="00DB61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osoba uczestnicząca w warsztacie wie, w jaki sposób może włączyć się ochronę środowiska</w:t>
            </w:r>
          </w:p>
          <w:p w:rsidR="001F58C3" w:rsidRDefault="00DB61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osoba uczestnicząca w warsztacie potrafi przedłużyć trwałość swojej odzieży</w:t>
            </w:r>
            <w:r>
              <w:rPr>
                <w:color w:val="000000"/>
              </w:rPr>
              <w:t xml:space="preserve"> poprzez farbowanie metodą </w:t>
            </w:r>
            <w:proofErr w:type="spellStart"/>
            <w:r>
              <w:rPr>
                <w:i/>
                <w:color w:val="000000"/>
              </w:rPr>
              <w:t>Tie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Dye</w:t>
            </w:r>
            <w:proofErr w:type="spellEnd"/>
          </w:p>
        </w:tc>
      </w:tr>
      <w:tr w:rsidR="001F58C3">
        <w:trPr>
          <w:trHeight w:val="296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FBF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Informacje o metodach pracy</w:t>
            </w:r>
          </w:p>
        </w:tc>
      </w:tr>
      <w:tr w:rsidR="001F58C3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000000"/>
              </w:rPr>
            </w:pPr>
            <w:r>
              <w:rPr>
                <w:color w:val="000000"/>
              </w:rPr>
              <w:t>Zajęcia zostały przygotowane w oparciu o metodykę Czesława Kupisiewicza, zajęcia obejmują:</w:t>
            </w:r>
            <w:r>
              <w:rPr>
                <w:color w:val="000000"/>
              </w:rPr>
              <w:br/>
              <w:t xml:space="preserve">- metody oparte na obserwacji (metody oglądowe): </w:t>
            </w:r>
            <w:r>
              <w:rPr>
                <w:i/>
                <w:color w:val="000000"/>
              </w:rPr>
              <w:t>pokaz</w:t>
            </w:r>
          </w:p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metody oparte na słowie (metody werbalne): </w:t>
            </w:r>
            <w:r>
              <w:rPr>
                <w:i/>
                <w:color w:val="000000"/>
              </w:rPr>
              <w:t>pogadanka, opis, wykład</w:t>
            </w:r>
          </w:p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</w:rPr>
              <w:t>metody oparte na działalności praktycznej uczniów (metody praktyczne):</w:t>
            </w:r>
            <w:r>
              <w:rPr>
                <w:i/>
                <w:color w:val="000000"/>
              </w:rPr>
              <w:t xml:space="preserve"> metoda zajęć praktycznych</w:t>
            </w:r>
            <w:r>
              <w:rPr>
                <w:i/>
                <w:color w:val="000000"/>
              </w:rPr>
              <w:br/>
            </w:r>
          </w:p>
        </w:tc>
      </w:tr>
      <w:tr w:rsidR="001F58C3">
        <w:trPr>
          <w:trHeight w:val="236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FBF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Potrzebne materiały i narzędzia</w:t>
            </w:r>
          </w:p>
        </w:tc>
      </w:tr>
      <w:tr w:rsidR="001F58C3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Przeprowadzenie wymiany ubrań wymaga wieszaków stojących (najwygodniej na kółkach), oraz wieszaków, na których bezpośrednio wieszamy ubrania. Przy naszej akcji wykorzystaliśmy trzy wieszaki stojące, oraz około 100 wieszaków na ubrania. W przypadku większyc</w:t>
            </w:r>
            <w:r>
              <w:rPr>
                <w:color w:val="000000"/>
              </w:rPr>
              <w:t>h wydarzeń warto wcześniej przygotować żetony np. w postaci karteczek z informacją ile ubrań zostało przyniesionych, po to, by dana osoba mogła wybrać sobie tyle samo ubrań ile przyniosła. </w:t>
            </w:r>
          </w:p>
          <w:p w:rsidR="001F58C3" w:rsidRDefault="001F5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8C3" w:rsidRDefault="00DB61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Do przeprowadzenia części teoretycznej z prezentacją konieczny je</w:t>
            </w:r>
            <w:r>
              <w:rPr>
                <w:color w:val="000000"/>
              </w:rPr>
              <w:t>st projektor, lub w przypadku mniej licznych grup monitor, należy zadbać o miejsca do siedzenia.</w:t>
            </w:r>
          </w:p>
          <w:p w:rsidR="001F58C3" w:rsidRDefault="001F5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8C3" w:rsidRDefault="00DB61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Na warsztaty </w:t>
            </w:r>
            <w:r>
              <w:rPr>
                <w:b/>
                <w:color w:val="000000"/>
              </w:rPr>
              <w:t>uczestnicy i uczestniczki przynoszą ubranie w kolorze białym</w:t>
            </w:r>
            <w:r>
              <w:rPr>
                <w:color w:val="000000"/>
              </w:rPr>
              <w:t xml:space="preserve">, któremu chcą nadać drugie życie. Ubranie powinno być wykonane z naturalnej tkaniny </w:t>
            </w:r>
            <w:r>
              <w:rPr>
                <w:color w:val="000000"/>
              </w:rPr>
              <w:t>(np. bawełna, wiskoza, len). Dobrze jest mieć w zapasie białe ubranie, by mogło być wykorzystane w przypadku gdy osoba uczestnicząca przyjdzie nieprzygotowana.</w:t>
            </w:r>
          </w:p>
          <w:p w:rsidR="001F58C3" w:rsidRDefault="001F58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58C3" w:rsidRDefault="00DB61A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Przed rozpoczęciem części warsztatowej należy przygotować:</w:t>
            </w:r>
          </w:p>
          <w:p w:rsidR="001F58C3" w:rsidRDefault="00DB61A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 zabezpieczone grubą folią stoły</w:t>
            </w:r>
          </w:p>
          <w:p w:rsidR="001F58C3" w:rsidRDefault="00DB61A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duży pojemnik z wodnym roztworem sody kalcynowanej (½ szklanki sody kalcynowanej na 4 l wody)</w:t>
            </w:r>
          </w:p>
          <w:p w:rsidR="001F58C3" w:rsidRDefault="00DB61A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 rękawiczki ochronne dla osób uczestniczących</w:t>
            </w:r>
          </w:p>
          <w:p w:rsidR="001F58C3" w:rsidRDefault="00DB61A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 duże torebki strunowe</w:t>
            </w:r>
          </w:p>
          <w:p w:rsidR="001F58C3" w:rsidRDefault="00DB61A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 gumki recepturki</w:t>
            </w:r>
          </w:p>
          <w:p w:rsidR="001F58C3" w:rsidRDefault="00DB61A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barwniki do farbowania tkanin “na zimno” (na naszych zajęciach użyłyśmy farb </w:t>
            </w:r>
            <w:r>
              <w:rPr>
                <w:i/>
                <w:color w:val="010000"/>
              </w:rPr>
              <w:t xml:space="preserve">JACQUARD </w:t>
            </w:r>
            <w:proofErr w:type="spellStart"/>
            <w:r>
              <w:rPr>
                <w:i/>
                <w:color w:val="010000"/>
              </w:rPr>
              <w:t>Procion</w:t>
            </w:r>
            <w:proofErr w:type="spellEnd"/>
            <w:r>
              <w:rPr>
                <w:i/>
                <w:color w:val="010000"/>
              </w:rPr>
              <w:t xml:space="preserve"> MX</w:t>
            </w:r>
            <w:r>
              <w:rPr>
                <w:color w:val="010000"/>
              </w:rPr>
              <w:t>)</w:t>
            </w:r>
          </w:p>
          <w:p w:rsidR="001F58C3" w:rsidRDefault="00DB61A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 ręczniki papierowe</w:t>
            </w:r>
          </w:p>
          <w:p w:rsidR="001F58C3" w:rsidRDefault="00DB61A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butelki ze spiczastym końcem napełnione w </w:t>
            </w:r>
            <w:r>
              <w:rPr>
                <w:rFonts w:ascii="Cambria Math" w:eastAsia="Cambria Math" w:hAnsi="Cambria Math" w:cs="Cambria Math"/>
                <w:color w:val="000000"/>
              </w:rPr>
              <w:t>⅚</w:t>
            </w:r>
            <w:r>
              <w:rPr>
                <w:color w:val="000000"/>
              </w:rPr>
              <w:t>  wodą ( po 3 sztuki na osobę uczestniczącą) </w:t>
            </w:r>
          </w:p>
          <w:p w:rsidR="001F58C3" w:rsidRDefault="00DB61A6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- plastikowe łyżeczki do dozowania barwnika </w:t>
            </w:r>
          </w:p>
        </w:tc>
      </w:tr>
      <w:tr w:rsidR="001F58C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Podstawowe informacje</w:t>
            </w:r>
          </w:p>
        </w:tc>
      </w:tr>
      <w:tr w:rsidR="001F58C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</w:pPr>
            <w:r>
              <w:t>Projekt edukacyjny skierowany do młodzieży ma na celu promowanie postawy obywatelskiej oraz ekologii poprzez edukację w zakresie zrównoważonej mody i przemysłu odzieżowego. Głównym założeniem projektu jest promowanie ponownego wykorzystywania materiałów te</w:t>
            </w:r>
            <w:r>
              <w:t>kstylnych oraz zmniejszenie negatywnego wpływu przemysłu odzieżowego na środowisko.</w:t>
            </w:r>
          </w:p>
          <w:p w:rsidR="001F58C3" w:rsidRDefault="001F58C3">
            <w:pPr>
              <w:widowControl w:val="0"/>
            </w:pPr>
          </w:p>
          <w:p w:rsidR="001F58C3" w:rsidRDefault="00DB61A6">
            <w:pPr>
              <w:widowControl w:val="0"/>
            </w:pPr>
            <w:r>
              <w:t>Aby osiągnąć te cele, projekt zakłada zorganizowanie akcji wymiany ubrań, które popularyzują ideę recyclingu oraz dają młodzieży możliwość zdobycia nowych ubrań bez koniec</w:t>
            </w:r>
            <w:r>
              <w:t>zności ich kupowania. W ramach tej akcji, uczestnicy i uczestniczki będą mają okazję wymieniać się swoimi ubraniami, co pozwoli im pozbyć się niepotrzebnych rzeczy oraz pozyskać odpowiadającą ich aktualnym potrzebom odzież.</w:t>
            </w:r>
          </w:p>
          <w:p w:rsidR="001F58C3" w:rsidRDefault="001F58C3">
            <w:pPr>
              <w:widowControl w:val="0"/>
            </w:pPr>
          </w:p>
          <w:p w:rsidR="001F58C3" w:rsidRDefault="00DB61A6">
            <w:pPr>
              <w:widowControl w:val="0"/>
            </w:pPr>
            <w:r>
              <w:t>Dodatkowo projekt przewiduje wa</w:t>
            </w:r>
            <w:r>
              <w:t xml:space="preserve">rsztaty, na których młodzież może nauczyć się  jednej z form przedłużania trwałości swoich ubrań jaką jest farbowanie metodą </w:t>
            </w:r>
            <w:proofErr w:type="spellStart"/>
            <w:r>
              <w:rPr>
                <w:i/>
              </w:rPr>
              <w:t>Tie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Dye</w:t>
            </w:r>
            <w:proofErr w:type="spellEnd"/>
            <w:r>
              <w:t>. Osoby uczestniczące dowiedzą się o różnych innych sposobach naprawiania i modyfikowania swoich ubrań, zamiast wyrzucania i</w:t>
            </w:r>
            <w:r>
              <w:t>ch, gdy są uszkodzone lub nie pasują do aktualnych trendów. Dzięki tym warsztatom, młodzież będzie miała świadomość, że może wpływać na długość życia swoich ubrań, co jest zgodne z ideą zrównoważonej mody.</w:t>
            </w:r>
          </w:p>
          <w:p w:rsidR="001F58C3" w:rsidRDefault="001F58C3">
            <w:pPr>
              <w:widowControl w:val="0"/>
            </w:pPr>
          </w:p>
          <w:p w:rsidR="001F58C3" w:rsidRDefault="00DB61A6">
            <w:pPr>
              <w:widowControl w:val="0"/>
            </w:pPr>
            <w:r>
              <w:t>Osoby uczestniczące dowiedzą się też, co oprócz w</w:t>
            </w:r>
            <w:r>
              <w:t xml:space="preserve">zięcia udziału w akcji wymiany ubrań mogą zrobić z tekstyliami, których już nie potrzebują. </w:t>
            </w:r>
          </w:p>
          <w:p w:rsidR="001F58C3" w:rsidRDefault="00DB61A6">
            <w:pPr>
              <w:widowControl w:val="0"/>
            </w:pPr>
            <w:r>
              <w:t>Cały projekt jest realizowany w sposób interaktywny i praktyczny, aby młodzież mogła zdobyć konkretne umiejętności i wiedzę, które będą miały realny wpływ na ich ż</w:t>
            </w:r>
            <w:r>
              <w:t>ycie i otoczenie. Poprzez promowanie zrównoważonej mody i przemysłu odzieżowego, projekt przyczynia się do kształtowania postawy obywatelskiej i ekologicznej wśród młodych ludzi.</w:t>
            </w:r>
          </w:p>
          <w:p w:rsidR="001F58C3" w:rsidRDefault="001F58C3">
            <w:pPr>
              <w:widowControl w:val="0"/>
            </w:pPr>
          </w:p>
          <w:p w:rsidR="001F58C3" w:rsidRDefault="00DB61A6">
            <w:pPr>
              <w:widowControl w:val="0"/>
              <w:rPr>
                <w:b/>
              </w:rPr>
            </w:pPr>
            <w:r>
              <w:rPr>
                <w:b/>
              </w:rPr>
              <w:t>Poszczególne elementy projektu mogą być organizowane jako osobne wydarzenia,</w:t>
            </w:r>
            <w:r>
              <w:rPr>
                <w:b/>
              </w:rPr>
              <w:t xml:space="preserve"> pozwalając tym samym na dostosowanie go do potrzeb różnych placówek i środowisk.</w:t>
            </w:r>
          </w:p>
        </w:tc>
      </w:tr>
      <w:tr w:rsidR="001F58C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  <w:rPr>
                <w:b/>
              </w:rPr>
            </w:pPr>
            <w:r>
              <w:rPr>
                <w:b/>
              </w:rPr>
              <w:t>Wskazówki dla osoby prowadzącej</w:t>
            </w:r>
          </w:p>
        </w:tc>
      </w:tr>
      <w:tr w:rsidR="001F58C3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Rozważyć rozdanie uczestnikom/uczestniczkom karteczek z instrukcją farbowania tkanin w technice wykorzystanej na zajęciach, by mogli w przyszłości wykonywać je sami w warunkach domowych. Można też rozpisać tę instrukcję, umieścić w widocznym miejscu  i zap</w:t>
            </w:r>
            <w:r>
              <w:rPr>
                <w:color w:val="000000"/>
              </w:rPr>
              <w:t>roponować sfotografowanie. </w:t>
            </w:r>
          </w:p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Czas zajęć warsztatowych uzależniony jest od wieku osób uczestniczących. Jeśli w grupie są osoby</w:t>
            </w:r>
            <w:r>
              <w:rPr>
                <w:color w:val="000000"/>
              </w:rPr>
              <w:br/>
              <w:t xml:space="preserve"> z niepełnosprawnościami, bądź grupa liczy więcej niż 15 osób, należy rozważyć obecność asystenta/asystentki.</w:t>
            </w:r>
          </w:p>
        </w:tc>
      </w:tr>
    </w:tbl>
    <w:p w:rsidR="001F58C3" w:rsidRDefault="001F58C3"/>
    <w:tbl>
      <w:tblPr>
        <w:tblStyle w:val="a1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5"/>
        <w:gridCol w:w="5954"/>
        <w:gridCol w:w="1701"/>
      </w:tblGrid>
      <w:tr w:rsidR="001F58C3">
        <w:trPr>
          <w:tblHeader/>
        </w:trPr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Przebieg warsztatów</w:t>
            </w:r>
          </w:p>
        </w:tc>
      </w:tr>
      <w:tr w:rsidR="001F58C3">
        <w:trPr>
          <w:tblHeader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F58C3" w:rsidRDefault="00DB61A6">
            <w:pPr>
              <w:widowControl w:val="0"/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8C3" w:rsidRDefault="00DB61A6">
            <w:pPr>
              <w:widowControl w:val="0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58C3" w:rsidRDefault="00DB61A6">
            <w:pPr>
              <w:widowControl w:val="0"/>
              <w:rPr>
                <w:b/>
              </w:rPr>
            </w:pPr>
            <w:r>
              <w:rPr>
                <w:b/>
              </w:rPr>
              <w:t>Czas trwania</w:t>
            </w:r>
          </w:p>
        </w:tc>
      </w:tr>
      <w:tr w:rsidR="001F58C3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</w:pPr>
            <w:r>
              <w:rPr>
                <w:color w:val="000000"/>
              </w:rPr>
              <w:t>Część teoretyczna 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3" w:rsidRDefault="00DB61A6">
            <w:pPr>
              <w:widowControl w:val="0"/>
            </w:pPr>
            <w:r>
              <w:rPr>
                <w:color w:val="000000"/>
              </w:rPr>
              <w:t>Przedstawienie się, zapoznanie prowadzącego/prowadzącej z grupą, prezentacja multimedialna dotycząca negatywnego wpływu przemysłu odzieżowego na środowisko oraz idei ponownego wykorzystywania materiałów tek</w:t>
            </w:r>
            <w:r>
              <w:rPr>
                <w:color w:val="000000"/>
              </w:rPr>
              <w:t>stylnych.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3" w:rsidRDefault="00DB61A6">
            <w:pPr>
              <w:widowControl w:val="0"/>
            </w:pPr>
            <w:r>
              <w:t>10 min</w:t>
            </w:r>
          </w:p>
        </w:tc>
      </w:tr>
      <w:tr w:rsidR="001F58C3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</w:pPr>
            <w:r>
              <w:rPr>
                <w:color w:val="000000"/>
              </w:rPr>
              <w:t>Przygotowanie ubrań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Wszystkie osoby uczestniczące były proszone o przyniesienie ze sobą na zajęcia ubrań z naturalnej tkaniny, najlepiej białych. Takich ubrań, które nie dały się </w:t>
            </w:r>
            <w:proofErr w:type="spellStart"/>
            <w:r>
              <w:rPr>
                <w:color w:val="000000"/>
              </w:rPr>
              <w:t>odplamić</w:t>
            </w:r>
            <w:proofErr w:type="spellEnd"/>
            <w:r>
              <w:rPr>
                <w:color w:val="000000"/>
              </w:rPr>
              <w:t>. Po prezentacji osoby uczestniczące wyjmują przyniesioną odzież, wkładają rękawiczki och</w:t>
            </w:r>
            <w:r>
              <w:rPr>
                <w:color w:val="000000"/>
              </w:rPr>
              <w:t>ronne, następnie zamaczają  ubrania w roztworze sody kalcynowanej. Aby tkanina dobrze chłonęła barwnik powinna pozostać w kąpieli od kilku do kilkunastu minut. 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58C3" w:rsidRDefault="00DB61A6">
            <w:pPr>
              <w:widowControl w:val="0"/>
            </w:pPr>
            <w:r>
              <w:t>60 min</w:t>
            </w:r>
          </w:p>
        </w:tc>
      </w:tr>
      <w:tr w:rsidR="001F58C3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</w:pPr>
            <w:r>
              <w:rPr>
                <w:color w:val="000000"/>
              </w:rPr>
              <w:t>Przygotowanie farb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3" w:rsidRDefault="00DB61A6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W międzyczasie osoba prowadząca zajęcia objaśnia dalsze czynności, oraz prezentuje paletę barw przygotowanych barwników. </w:t>
            </w:r>
          </w:p>
          <w:p w:rsidR="001F58C3" w:rsidRDefault="001F58C3">
            <w:pPr>
              <w:widowControl w:val="0"/>
              <w:rPr>
                <w:color w:val="000000"/>
              </w:rPr>
            </w:pPr>
          </w:p>
          <w:p w:rsidR="001F58C3" w:rsidRDefault="00DB61A6">
            <w:pPr>
              <w:widowControl w:val="0"/>
            </w:pPr>
            <w:r>
              <w:rPr>
                <w:color w:val="000000"/>
              </w:rPr>
              <w:t>Każda osoba uczestnicząca jest zaproszona do wybrania 3 kolorów do użycia w swoim projekcie. Następnie każda osoba za pomocą plastiko</w:t>
            </w:r>
            <w:r>
              <w:rPr>
                <w:color w:val="000000"/>
              </w:rPr>
              <w:t>wej łyżeczki ostrożnie dozuje pigmenty do swoich butelek. Po zakręceniu i dokładnym wymieszaniu roztworu butelki z barwnikami odstawiane są na bok. 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58C3" w:rsidRDefault="001F5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58C3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</w:pPr>
            <w:r>
              <w:rPr>
                <w:color w:val="000000"/>
              </w:rPr>
              <w:t>Prezentacja wiązania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Osoba prowadząca zajęcia objaśnia i pokazuje na swojej tkaninie sposób skręcania i splątywania ubrania za pomocą gumek recepturek (jest wiele fantastycznych sposobów żeby osiągnąć zjawiskowe efekty barwienia, dla dobra uczestników i uczestniczek wybieramy </w:t>
            </w:r>
            <w:r>
              <w:rPr>
                <w:color w:val="000000"/>
              </w:rPr>
              <w:t>tylko jeden z nich). </w:t>
            </w:r>
          </w:p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Na naszych zajęciach przedstawiłyśmy metodę barwnej spirali:</w:t>
            </w:r>
          </w:p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1. Rozłóż tkaninę płasko na stole.</w:t>
            </w:r>
          </w:p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2. Chwyć za środek i skręć ubranie </w:t>
            </w:r>
          </w:p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3. Zwiąż gumkami ciasno zwiniętą tkaninę.</w:t>
            </w:r>
            <w:r>
              <w:rPr>
                <w:i/>
                <w:color w:val="000000"/>
              </w:rPr>
              <w:br/>
            </w:r>
          </w:p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/>
              </w:rPr>
              <w:lastRenderedPageBreak/>
              <w:t>Wszystkie osoby uczestniczące są proszone do powtórzenia tej czynności, osoby prowadzące pomagają tym, którzy tego potrzebują.  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58C3" w:rsidRDefault="001F5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58C3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Sposób aplikowania pigmentu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Kiedy wszystkie osoby uczestniczące mają odpowiednio skręcone i zabezpieczone recepturkami ubrania, osoba prowadząca zajęcia pokazuje sposób aplikowania przygotowanej farby na ubranie. Najpierw po jednej, a potem  po drugiej stronie. Osoby uczestniczące po</w:t>
            </w:r>
            <w:r>
              <w:rPr>
                <w:color w:val="000000"/>
              </w:rPr>
              <w:t>wtarzają czynności, korzystając z wybranych przez siebie barw. 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58C3" w:rsidRDefault="001F5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58C3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Zabezpieczenie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 nałożeniu farby każda osoba uczestnicząca jest proszona o ostrożne umieszczenie swojej pracy w foliowej torebce strunowej. 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F58C3" w:rsidRDefault="001F58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F58C3"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Zadanie domowe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3" w:rsidRDefault="00DB6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Osoba prowadząca warsztaty udziela instrukcji późniejszego postępowania: Farbowane ubrania należy pozostawić w foliowej torbie co najmniej przez 8 godzin, następnie przygotować roztwór wody i octu w proporcjach:1 łyżka octu na 1 litr wody (można dodać kilk</w:t>
            </w:r>
            <w:r>
              <w:rPr>
                <w:color w:val="000000"/>
              </w:rPr>
              <w:t>a kropli olejku zapachowego). Zafarbowaną tkaninę należy wypłukać najpierw w przyrządzonym roztworze, następnie w chłodnej wodzie tak, aby nie puszczała barwnika. Ubranie należy dobrze wycisnąć i rozwiesić do wyschnięcia. Farbowane w ten sposób ubrania naj</w:t>
            </w:r>
            <w:r>
              <w:rPr>
                <w:color w:val="000000"/>
              </w:rPr>
              <w:t>lepiej prać ręcznie.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58C3" w:rsidRDefault="001F58C3">
            <w:pPr>
              <w:widowControl w:val="0"/>
              <w:rPr>
                <w:color w:val="00000A"/>
              </w:rPr>
            </w:pPr>
          </w:p>
        </w:tc>
      </w:tr>
      <w:tr w:rsidR="001F58C3"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58C3" w:rsidRDefault="00DB61A6">
            <w:pPr>
              <w:widowControl w:val="0"/>
              <w:rPr>
                <w:color w:val="00000A"/>
              </w:rPr>
            </w:pPr>
            <w:r>
              <w:rPr>
                <w:color w:val="000000"/>
              </w:rPr>
              <w:t>Wspólne sprzątanie po skończonej pracy</w:t>
            </w:r>
          </w:p>
        </w:tc>
      </w:tr>
    </w:tbl>
    <w:p w:rsidR="001F58C3" w:rsidRDefault="001F58C3"/>
    <w:p w:rsidR="001F58C3" w:rsidRDefault="00DB61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</w:rPr>
        <w:t>Konsultacja merytoryczna</w:t>
      </w:r>
      <w:r>
        <w:rPr>
          <w:color w:val="000000"/>
        </w:rPr>
        <w:t xml:space="preserve">: Wioletta </w:t>
      </w:r>
      <w:proofErr w:type="spellStart"/>
      <w:r>
        <w:rPr>
          <w:color w:val="000000"/>
        </w:rPr>
        <w:t>Stafińska</w:t>
      </w:r>
      <w:proofErr w:type="spellEnd"/>
    </w:p>
    <w:p w:rsidR="001F58C3" w:rsidRDefault="001F58C3"/>
    <w:sectPr w:rsidR="001F58C3">
      <w:headerReference w:type="default" r:id="rId10"/>
      <w:footerReference w:type="default" r:id="rId11"/>
      <w:pgSz w:w="11909" w:h="16834"/>
      <w:pgMar w:top="2764" w:right="1277" w:bottom="851" w:left="1440" w:header="624" w:footer="1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1A6" w:rsidRDefault="00DB61A6">
      <w:pPr>
        <w:spacing w:line="240" w:lineRule="auto"/>
      </w:pPr>
      <w:r>
        <w:separator/>
      </w:r>
    </w:p>
  </w:endnote>
  <w:endnote w:type="continuationSeparator" w:id="0">
    <w:p w:rsidR="00DB61A6" w:rsidRDefault="00DB61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C3" w:rsidRDefault="001F58C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2"/>
      <w:tblW w:w="7583" w:type="dxa"/>
      <w:tblInd w:w="98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7"/>
      <w:gridCol w:w="2478"/>
      <w:gridCol w:w="2478"/>
    </w:tblGrid>
    <w:tr w:rsidR="001F58C3">
      <w:trPr>
        <w:trHeight w:val="404"/>
      </w:trPr>
      <w:tc>
        <w:tcPr>
          <w:tcW w:w="2627" w:type="dxa"/>
          <w:vAlign w:val="center"/>
        </w:tcPr>
        <w:p w:rsidR="001F58C3" w:rsidRDefault="00DB61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541386" cy="833260"/>
                <wp:effectExtent l="0" t="0" r="0" b="0"/>
                <wp:docPr id="1268871693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386" cy="833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1F58C3" w:rsidRDefault="00DB61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097618" cy="675949"/>
                <wp:effectExtent l="0" t="0" r="0" b="0"/>
                <wp:docPr id="126887169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8" cy="6759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1F58C3" w:rsidRDefault="00DB61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1450171" cy="726014"/>
                <wp:effectExtent l="0" t="0" r="0" b="0"/>
                <wp:docPr id="1268871694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171" cy="7260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F58C3">
      <w:trPr>
        <w:trHeight w:val="404"/>
      </w:trPr>
      <w:tc>
        <w:tcPr>
          <w:tcW w:w="7583" w:type="dxa"/>
          <w:gridSpan w:val="3"/>
          <w:vAlign w:val="center"/>
        </w:tcPr>
        <w:p w:rsidR="001F58C3" w:rsidRDefault="00DB61A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000000"/>
              <w:sz w:val="16"/>
              <w:szCs w:val="16"/>
            </w:rPr>
            <w:t>Projekt realizowany ze środków Miasta Lublin – w ramach Programu Akademia Miasto, działania Europejskiej Stolicy Młodzieży 2023 w Lublinie</w:t>
          </w:r>
        </w:p>
      </w:tc>
    </w:tr>
  </w:tbl>
  <w:p w:rsidR="001F58C3" w:rsidRDefault="001F58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1A6" w:rsidRDefault="00DB61A6">
      <w:pPr>
        <w:spacing w:line="240" w:lineRule="auto"/>
      </w:pPr>
      <w:r>
        <w:separator/>
      </w:r>
    </w:p>
  </w:footnote>
  <w:footnote w:type="continuationSeparator" w:id="0">
    <w:p w:rsidR="00DB61A6" w:rsidRDefault="00DB61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C3" w:rsidRDefault="00DB61A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5690870</wp:posOffset>
          </wp:positionH>
          <wp:positionV relativeFrom="paragraph">
            <wp:posOffset>-242569</wp:posOffset>
          </wp:positionV>
          <wp:extent cx="492125" cy="1019175"/>
          <wp:effectExtent l="0" t="0" r="0" b="0"/>
          <wp:wrapSquare wrapText="bothSides" distT="0" distB="0" distL="114300" distR="114300"/>
          <wp:docPr id="12688716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12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465D"/>
    <w:multiLevelType w:val="multilevel"/>
    <w:tmpl w:val="43941014"/>
    <w:lvl w:ilvl="0">
      <w:start w:val="90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C3"/>
    <w:rsid w:val="001F58C3"/>
    <w:rsid w:val="009E1006"/>
    <w:rsid w:val="009E69A2"/>
    <w:rsid w:val="00DB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A9C7"/>
  <w15:docId w15:val="{797AE4F3-5000-4FD4-B213-4F9324F6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1"/>
  </w:style>
  <w:style w:type="paragraph" w:styleId="Stopka">
    <w:name w:val="footer"/>
    <w:basedOn w:val="Normalny"/>
    <w:link w:val="Stopka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1"/>
  </w:style>
  <w:style w:type="table" w:styleId="Tabela-Siatka">
    <w:name w:val="Table Grid"/>
    <w:basedOn w:val="Standardowy"/>
    <w:uiPriority w:val="39"/>
    <w:rsid w:val="00C23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2BE0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234E8"/>
    <w:rPr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E234E8"/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307B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07B5"/>
    <w:rPr>
      <w:color w:val="605E5C"/>
      <w:shd w:val="clear" w:color="auto" w:fill="E1DFDD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q7GE2u5swH71lsZWaMZDudCt6w==">CgMxLjA4AHIhMTlONDE4Tjc3a252Q2Y5b2RnMzBxWXV2c293T1dBRko3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1256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Ciesielka</dc:creator>
  <cp:lastModifiedBy>Agata Cholewa</cp:lastModifiedBy>
  <cp:revision>2</cp:revision>
  <dcterms:created xsi:type="dcterms:W3CDTF">2024-01-31T10:50:00Z</dcterms:created>
  <dcterms:modified xsi:type="dcterms:W3CDTF">2024-01-31T10:50:00Z</dcterms:modified>
</cp:coreProperties>
</file>