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AD" w:rsidRDefault="004B5657">
      <w:pPr>
        <w:ind w:left="-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AKADEMIA MIASTO</w:t>
      </w:r>
      <w:r>
        <w:rPr>
          <w:sz w:val="28"/>
          <w:szCs w:val="28"/>
        </w:rPr>
        <w:br/>
        <w:t xml:space="preserve">Scenariusz zajęć edukacji obywatelskiej </w:t>
      </w:r>
    </w:p>
    <w:p w:rsidR="000F72AD" w:rsidRDefault="004B5657">
      <w:pPr>
        <w:ind w:left="-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Autorka: </w:t>
      </w:r>
      <w:r>
        <w:rPr>
          <w:color w:val="00000A"/>
          <w:sz w:val="28"/>
          <w:szCs w:val="28"/>
        </w:rPr>
        <w:t>Wiktoria Serafin</w:t>
      </w:r>
    </w:p>
    <w:p w:rsidR="000F72AD" w:rsidRDefault="000F72AD">
      <w:pPr>
        <w:ind w:left="-708"/>
        <w:rPr>
          <w:sz w:val="28"/>
          <w:szCs w:val="28"/>
        </w:rPr>
      </w:pPr>
      <w:bookmarkStart w:id="0" w:name="_GoBack"/>
      <w:bookmarkEnd w:id="0"/>
    </w:p>
    <w:tbl>
      <w:tblPr>
        <w:tblStyle w:val="a"/>
        <w:tblpPr w:leftFromText="141" w:rightFromText="141" w:vertAnchor="text" w:tblpX="780"/>
        <w:tblW w:w="6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5370"/>
      </w:tblGrid>
      <w:tr w:rsidR="000F72AD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AD" w:rsidRDefault="004B5657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288000" cy="288000"/>
                  <wp:effectExtent l="0" t="0" r="0" b="0"/>
                  <wp:docPr id="126887169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288000" cy="288000"/>
                  <wp:effectExtent l="0" t="0" r="0" b="0"/>
                  <wp:docPr id="126887169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2AD" w:rsidRDefault="004B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jest licencjonowana na zasadach Creative </w:t>
            </w:r>
            <w:proofErr w:type="spellStart"/>
            <w:r>
              <w:rPr>
                <w:sz w:val="24"/>
                <w:szCs w:val="24"/>
              </w:rPr>
              <w:t>Commons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Uznanie autorstwa 4.0 Międzynarodowe </w:t>
            </w:r>
            <w:r w:rsidR="00DD7E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(CC-BY-4.0)</w:t>
            </w:r>
          </w:p>
        </w:tc>
      </w:tr>
    </w:tbl>
    <w:p w:rsidR="000F72AD" w:rsidRDefault="000F72AD">
      <w:pPr>
        <w:jc w:val="center"/>
        <w:rPr>
          <w:sz w:val="28"/>
          <w:szCs w:val="28"/>
        </w:rPr>
      </w:pPr>
    </w:p>
    <w:p w:rsidR="000F72AD" w:rsidRDefault="000F72AD">
      <w:pPr>
        <w:jc w:val="center"/>
        <w:rPr>
          <w:sz w:val="28"/>
          <w:szCs w:val="28"/>
        </w:rPr>
      </w:pPr>
    </w:p>
    <w:p w:rsidR="000F72AD" w:rsidRDefault="000F72AD"/>
    <w:p w:rsidR="000F72AD" w:rsidRDefault="000F72AD"/>
    <w:tbl>
      <w:tblPr>
        <w:tblStyle w:val="a0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rPr>
                <w:b/>
              </w:rPr>
            </w:pPr>
            <w:r>
              <w:rPr>
                <w:b/>
              </w:rPr>
              <w:t>Temat warsztatu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Młodzi w komiksie. Lublin na oku. Przestrzenie dedykowane młodym ludziom w Lublinie.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rPr>
                <w:b/>
              </w:rPr>
            </w:pPr>
            <w:r>
              <w:rPr>
                <w:b/>
              </w:rPr>
              <w:t>Czas trwania warsztatu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</w:pPr>
            <w:r>
              <w:rPr>
                <w:color w:val="000000"/>
              </w:rPr>
              <w:t>80 minut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rPr>
                <w:b/>
              </w:rPr>
            </w:pPr>
            <w:r>
              <w:rPr>
                <w:b/>
              </w:rPr>
              <w:t>Osoby uczestniczące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Scenariusz został przygotowany dla osób w wieku 16-30 lat. Podczas zajęć osoby uczestniczące będą pracować głównie indywidualnie lub wspólnie w jednej grupie.</w:t>
            </w:r>
          </w:p>
          <w:p w:rsidR="000F72AD" w:rsidRDefault="000F72AD">
            <w:pPr>
              <w:widowControl w:val="0"/>
              <w:rPr>
                <w:color w:val="000000"/>
              </w:rPr>
            </w:pPr>
          </w:p>
          <w:p w:rsidR="000F72AD" w:rsidRDefault="004B5657">
            <w:pPr>
              <w:widowControl w:val="0"/>
            </w:pPr>
            <w:r>
              <w:rPr>
                <w:color w:val="000000"/>
              </w:rPr>
              <w:t>Sugerowana wielkość grupy od 2 do 30 osób. Liczebność osób uczestniczących, zależy od miejsca pr</w:t>
            </w:r>
            <w:r>
              <w:rPr>
                <w:color w:val="000000"/>
              </w:rPr>
              <w:t>zeprowadzania warsztatu w celu zapewnienia maksymalnego komfortu.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rPr>
                <w:b/>
              </w:rPr>
            </w:pPr>
            <w:r>
              <w:rPr>
                <w:b/>
              </w:rPr>
              <w:t>Cele warsztatu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- zapoznanie osób uczestniczących z młodzieżowymi miejscami w Lublinie (warsztat powinien odbywać się w jednej z dostępnych przestrzeni młodzieżowych)</w:t>
            </w:r>
            <w:r>
              <w:rPr>
                <w:color w:val="000000"/>
                <w:highlight w:val="white"/>
              </w:rPr>
              <w:br/>
            </w:r>
            <w:r>
              <w:rPr>
                <w:color w:val="000000"/>
                <w:highlight w:val="white"/>
              </w:rPr>
              <w:t>- rozwijanie kompetencji cyfrowych poprzez tworzenie komiksu i dokumentowanie odwiedzonych miejsc</w:t>
            </w:r>
            <w:r>
              <w:rPr>
                <w:color w:val="000000"/>
                <w:highlight w:val="white"/>
              </w:rPr>
              <w:br/>
              <w:t>- wspieranie twórczego myślenia i ekspresji poprzez komiks jako medium artystyczne</w:t>
            </w:r>
            <w:r>
              <w:rPr>
                <w:color w:val="000000"/>
                <w:highlight w:val="white"/>
              </w:rPr>
              <w:br/>
              <w:t>- promowanie uczestnictwa młodzieży w życiu społeczności miasta Lublin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rPr>
                <w:b/>
              </w:rPr>
            </w:pPr>
            <w:r>
              <w:rPr>
                <w:b/>
              </w:rPr>
              <w:t>Pot</w:t>
            </w:r>
            <w:r>
              <w:rPr>
                <w:b/>
              </w:rPr>
              <w:t>rzebne materiały i narzędzia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wydrukowane materiały (materiały wydrukować w kolorze na papierze technicznym): </w:t>
            </w:r>
            <w:r>
              <w:rPr>
                <w:color w:val="000000"/>
              </w:rPr>
              <w:br/>
              <w:t>● karty do gry “Poznajmy Się”, druk dwustronny</w:t>
            </w:r>
            <w:r>
              <w:rPr>
                <w:color w:val="000000"/>
              </w:rPr>
              <w:br/>
              <w:t>● przykłady prac Roya Lichtensteina</w:t>
            </w:r>
            <w:r>
              <w:rPr>
                <w:color w:val="000000"/>
              </w:rPr>
              <w:br/>
              <w:t>● karty do rysowania komiksów</w:t>
            </w:r>
          </w:p>
          <w:p w:rsidR="000F72AD" w:rsidRDefault="004B5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● kod QR do anonimowej ankiety</w:t>
            </w:r>
          </w:p>
          <w:p w:rsidR="000F72AD" w:rsidRDefault="004B56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markery</w:t>
            </w:r>
          </w:p>
          <w:p w:rsidR="000F72AD" w:rsidRDefault="004B56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cienkopisy</w:t>
            </w:r>
          </w:p>
          <w:p w:rsidR="000F72AD" w:rsidRDefault="004B56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kartka (1-2 na osobę uczestniczącą )</w:t>
            </w:r>
          </w:p>
          <w:p w:rsidR="000F72AD" w:rsidRDefault="004B56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nożyczki</w:t>
            </w:r>
          </w:p>
          <w:p w:rsidR="000F72AD" w:rsidRDefault="004B56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każda osoba uczestnicząca powinna mieć aparat/smartfon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Podstawowe informacje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r>
              <w:t>Podczas tych fascynujących warsztatów, osoby uczestniczące odkryją niepowtarzalną szansę na wzajemne poznanie i wyrażenie swoich zainteresowań poprzez tworzenie komiksów i rysunków, które przybliżą istotne miejsca dla młodzieży w Lublinie. Naszym celem jes</w:t>
            </w:r>
            <w:r>
              <w:t>t nie tylko inspiracja do kreatywnego wyrażania pomysłów i promocja unikalnych przestrzeni młodzieżowych, ale także rozwijanie kompetencji cyfrowych i artystycznych w pozytywny i wspierający sposób.</w:t>
            </w:r>
          </w:p>
          <w:p w:rsidR="000F72AD" w:rsidRDefault="000F72AD"/>
          <w:p w:rsidR="000F72AD" w:rsidRDefault="004B5657">
            <w:r>
              <w:t>Warsztaty stanowią okazję do twórczego procesu tworzenia</w:t>
            </w:r>
            <w:r>
              <w:t xml:space="preserve"> komiksów, jednocześnie pobudzając młode osoby do aktywnego uczestnictwa w społeczności. Chcemy rozwijać u osób uczestniczących indywidualne umiejętności, jednocześnie wzmacniając ich pewność siebie i zdolność do skutecznego wyrażania myśli, zgodnie z char</w:t>
            </w:r>
            <w:r>
              <w:t>akterem warsztatów. Młodzież będzie miała szansę zgłębić wiedzę na temat różnych miejsc w Lublinie, które są ważne dla jej grupy wiekowej. Ponadto, zachęcamy ją</w:t>
            </w:r>
          </w:p>
          <w:p w:rsidR="000F72AD" w:rsidRDefault="004B5657">
            <w:r>
              <w:t>do zdobywania informacji na temat lokalnych wydarzeń i przestrzeni, w których mogą wprowadzać i</w:t>
            </w:r>
            <w:r>
              <w:t xml:space="preserve">nnowacje. </w:t>
            </w:r>
          </w:p>
          <w:p w:rsidR="000F72AD" w:rsidRDefault="000F72AD"/>
          <w:p w:rsidR="000F72AD" w:rsidRDefault="004B5657">
            <w:r>
              <w:t>Chcemy, aby każda osoba uczestnicząca poczuł, że ma realny wpływ na to, co się dzieje w ich mieście. Chcemy, aby osoby uczestniczące zobaczyły szerzej, bogactwo możliwości i przestrzeni, które mogą kształtować i rozwijać. Dlatego też, podczas w</w:t>
            </w:r>
            <w:r>
              <w:t>arsztatów, dostarczymy nie tylko narzędzi do twórczego wyrażania, ale również wskażemy, gdzie szukać informacji dotyczących lokalnych</w:t>
            </w:r>
          </w:p>
          <w:p w:rsidR="000F72AD" w:rsidRDefault="004B5657">
            <w:r>
              <w:t>inicjatyw, organizacji i wydarzeń. Młodzi ludzie będą mieli okazję do odkrywania, jak mogą aktywnie uczestniczyć w tworzen</w:t>
            </w:r>
            <w:r>
              <w:t xml:space="preserve">iu społeczności, angażując się w innowacje i mając realny wpływ na kształtowanie przestrzeni młodzieżowych w Lublinie. </w:t>
            </w:r>
          </w:p>
          <w:p w:rsidR="000F72AD" w:rsidRDefault="000F72AD"/>
          <w:p w:rsidR="000F72AD" w:rsidRDefault="004B5657">
            <w:r>
              <w:t>Przygotujmy się na ekscytującą podróż poprzez sztukę, kreatywność i zaangażowanie społecznościowe, która pozwoli młodym ludziom zobaczyć, jakie potężne możliwości tkwią w ich własnych pomysłach i działaniach.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FBF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r>
              <w:rPr>
                <w:b/>
                <w:color w:val="000000"/>
              </w:rPr>
              <w:t>Wskazówki dla osoby prowadzącej </w:t>
            </w:r>
          </w:p>
        </w:tc>
      </w:tr>
      <w:tr w:rsidR="000F72A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rPr>
                <w:color w:val="000000"/>
              </w:rPr>
            </w:pPr>
            <w:r>
              <w:rPr>
                <w:color w:val="000000"/>
              </w:rPr>
              <w:t>Scenariusz "</w:t>
            </w:r>
            <w:r>
              <w:rPr>
                <w:color w:val="000000"/>
              </w:rPr>
              <w:t>Młodzi w komiksie. Lublin na oku" posiada potencjał do zastosowania dla grup osób</w:t>
            </w:r>
            <w:r>
              <w:br/>
            </w:r>
            <w:r>
              <w:rPr>
                <w:color w:val="000000"/>
              </w:rPr>
              <w:t>z niepełnosprawnościami, przy spełnieniu odpowiednich adaptacji i dostosowań. Poniżej przedstawiam kilka sugestii, jak można by dostosować scenariusz, aby uwzględnić różne po</w:t>
            </w:r>
            <w:r>
              <w:rPr>
                <w:color w:val="000000"/>
              </w:rPr>
              <w:t>trzeby:</w:t>
            </w:r>
          </w:p>
          <w:p w:rsidR="000F72AD" w:rsidRDefault="004B56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dostępność przestrzeni - wybór lokalizacji powinien uwzględniać dostępność dla osób z niepełnosprawnościami ruchu. Lokalizacje bez barier architektonicznych m.in.: posiada windy ułatwiające dostęp do różnych pięter, zapewnia toaletę dostępną dla </w:t>
            </w:r>
            <w:r>
              <w:rPr>
                <w:color w:val="000000"/>
              </w:rPr>
              <w:t>osób z  niepełnosprawnościami, wejście do budynku jest łatwo dostępne z poziomu gruntu.</w:t>
            </w:r>
          </w:p>
          <w:p w:rsidR="000F72AD" w:rsidRDefault="004B5657">
            <w:r>
              <w:rPr>
                <w:color w:val="000000"/>
              </w:rPr>
              <w:t>- materiały dla wszystkich - upewnij się, że wszelkie materiały, takie jak instrukcje czy komiksy, są dostępne w formatach dostosowanych do różnych potrzeb, np. w formi</w:t>
            </w:r>
            <w:r>
              <w:rPr>
                <w:color w:val="000000"/>
              </w:rPr>
              <w:t xml:space="preserve">e tekstu alternatywnego, </w:t>
            </w:r>
            <w:proofErr w:type="spellStart"/>
            <w:r>
              <w:rPr>
                <w:color w:val="000000"/>
              </w:rPr>
              <w:t>audiodeskrypcji</w:t>
            </w:r>
            <w:proofErr w:type="spellEnd"/>
            <w:r>
              <w:rPr>
                <w:color w:val="000000"/>
              </w:rPr>
              <w:t xml:space="preserve">, druku powiększonym czy dostępnych w formie pliku do odczytu przez </w:t>
            </w:r>
            <w:r>
              <w:t xml:space="preserve">programy typu NVDA, </w:t>
            </w:r>
            <w:proofErr w:type="spellStart"/>
            <w:r>
              <w:t>talkback</w:t>
            </w:r>
            <w:proofErr w:type="spellEnd"/>
            <w:r>
              <w:t xml:space="preserve"> itp.</w:t>
            </w:r>
          </w:p>
          <w:p w:rsidR="000F72AD" w:rsidRDefault="004B5657">
            <w:r>
              <w:t>- wsparcie indywidualne - przewiduj możliwość udzielenia wsparcia indywidualnego, jeśli ktoś</w:t>
            </w:r>
          </w:p>
          <w:p w:rsidR="000F72AD" w:rsidRDefault="004B5657">
            <w:r>
              <w:t>z grupy wymaga dodatk</w:t>
            </w:r>
            <w:r>
              <w:t>owej pomocy. Znajomość indywidualnych potrzeb osób uczestniczących jest kluczowa.</w:t>
            </w:r>
          </w:p>
          <w:p w:rsidR="000F72AD" w:rsidRDefault="004B5657">
            <w:r>
              <w:t>- komunikacja alternatywna - jeśli w grupie są osoby z trudnościami komunikacyjnymi, dostosuj</w:t>
            </w:r>
          </w:p>
          <w:p w:rsidR="000F72AD" w:rsidRDefault="004B5657">
            <w:r>
              <w:t>formy komunikacji, np. poprzez użycie prostego języka, piktogramów czy innych narzędzi wspomagających.</w:t>
            </w:r>
          </w:p>
          <w:p w:rsidR="000F72AD" w:rsidRDefault="004B5657">
            <w:r>
              <w:t>- adaptacje zadań - dostosuj zadania i aktywności, biorąc pod uwagę różnorodność</w:t>
            </w:r>
          </w:p>
          <w:p w:rsidR="000F72AD" w:rsidRDefault="004B5657">
            <w:r>
              <w:t>umiejętności i potrzeb osób uczestniczących. Możesz także skonsultować s</w:t>
            </w:r>
            <w:r>
              <w:t>ię z osobami z doświadczeniem w pracy z osobami z niepełnosprawnościami.</w:t>
            </w:r>
          </w:p>
          <w:p w:rsidR="000F72AD" w:rsidRDefault="004B5657">
            <w:r>
              <w:t>- współpraca z ekspertami - współpracuj z ekspertami ds. niepełnosprawności, organizacjami</w:t>
            </w:r>
          </w:p>
          <w:p w:rsidR="000F72AD" w:rsidRDefault="004B5657">
            <w:r>
              <w:t>pozarządowymi lub specjalistami, aby uzyskać wsparcie i wskazówki dotyczące dostosowań.</w:t>
            </w:r>
          </w:p>
          <w:p w:rsidR="000F72AD" w:rsidRDefault="004B5657">
            <w:r>
              <w:t>- dz</w:t>
            </w:r>
            <w:r>
              <w:t>iałania wspólne - zachęcaj do działań wspólnych, które integrują osoby uczestniczące</w:t>
            </w:r>
          </w:p>
          <w:p w:rsidR="000F72AD" w:rsidRDefault="004B5657">
            <w:r>
              <w:t>z różnymi umiejętnościami i doświadczeniami.</w:t>
            </w:r>
          </w:p>
        </w:tc>
      </w:tr>
    </w:tbl>
    <w:p w:rsidR="000F72AD" w:rsidRDefault="000F72AD"/>
    <w:p w:rsidR="000F72AD" w:rsidRDefault="000F72AD"/>
    <w:tbl>
      <w:tblPr>
        <w:tblStyle w:val="a1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5"/>
        <w:gridCol w:w="5954"/>
        <w:gridCol w:w="1701"/>
      </w:tblGrid>
      <w:tr w:rsidR="000F72AD">
        <w:trPr>
          <w:tblHeader/>
        </w:trPr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Przebieg warsztatów</w:t>
            </w:r>
          </w:p>
        </w:tc>
      </w:tr>
      <w:tr w:rsidR="000F72AD">
        <w:trPr>
          <w:tblHeader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2AD" w:rsidRDefault="004B5657">
            <w:pPr>
              <w:widowControl w:val="0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72AD" w:rsidRDefault="004B5657">
            <w:pPr>
              <w:widowControl w:val="0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72AD" w:rsidRDefault="004B5657">
            <w:pPr>
              <w:widowControl w:val="0"/>
              <w:rPr>
                <w:b/>
              </w:rPr>
            </w:pPr>
            <w:r>
              <w:rPr>
                <w:b/>
              </w:rPr>
              <w:t>Czas trwania</w:t>
            </w:r>
          </w:p>
        </w:tc>
      </w:tr>
      <w:tr w:rsidR="000F72A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Powitanie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Rozpocznij sesję, witając osoby uczestniczące i przedstawiając się, następnie opowiedz krótko o temacie warsztatów, tj. eksplorowaniu młodzieżowych miejsc </w:t>
            </w:r>
            <w:r>
              <w:rPr>
                <w:color w:val="000000"/>
              </w:rPr>
              <w:br/>
              <w:t>w Lublinie przez komiks.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 min</w:t>
            </w:r>
          </w:p>
        </w:tc>
      </w:tr>
      <w:tr w:rsidR="000F72A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</w:pPr>
            <w:r>
              <w:rPr>
                <w:color w:val="000000"/>
              </w:rPr>
              <w:t>Wprowadzenie do tematu komiksów i twórczości Roy Lichtenstein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Roy Li</w:t>
            </w:r>
            <w:r>
              <w:rPr>
                <w:color w:val="000000"/>
              </w:rPr>
              <w:t>chtenstein to amerykański artysta, urodzony w 1923 roku, który zyskał rozgłos jako jeden z głównych przedstawicieli nurtu znanego jako "pop art".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Pop art koncentruje się na krytyce kultury masowej i korzysta z elementów masowych mediów, takich jak reklamy,</w:t>
            </w:r>
            <w:r>
              <w:rPr>
                <w:color w:val="000000"/>
              </w:rPr>
              <w:t xml:space="preserve"> plakaty, komiksy i produkty codziennego użytku jako źródła inspiracji. Artysta eksperymentował z technikami druku i wykorzystywał znane wówczas </w:t>
            </w:r>
            <w:r>
              <w:rPr>
                <w:color w:val="000000"/>
              </w:rPr>
              <w:lastRenderedPageBreak/>
              <w:t>materiały komiksowe oraz reklamowe jako źródło swoich dzieł.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Jego twórczość jest znana z wykorzystywania stylu </w:t>
            </w:r>
            <w:r>
              <w:rPr>
                <w:color w:val="000000"/>
              </w:rPr>
              <w:t>komiksowego jako głównego źródła inspiracji.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Styl Komiksowy:</w:t>
            </w:r>
            <w:r>
              <w:rPr>
                <w:color w:val="000000"/>
              </w:rPr>
              <w:br/>
              <w:t>- prace w tym stylu posiadają wyraźne linie i kształty. Stosowane są czyste kolory, płaska plama barwna oraz pogrubiona czcionka.</w:t>
            </w:r>
            <w:r>
              <w:rPr>
                <w:color w:val="000000"/>
              </w:rPr>
              <w:br/>
              <w:t xml:space="preserve">- obrazy zestawiane są z dialogami myśli bohaterów umieszczanymi </w:t>
            </w:r>
            <w:r>
              <w:rPr>
                <w:color w:val="000000"/>
              </w:rPr>
              <w:t>w tzw. “chmurkach” bądź “dymkach”. Dodatkowo mogą pojawić się komentarze do scen luźno lub w ramkach.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Roy Lichtenstein jest znany z wykorzystywania cech stylu komiksowego w swojej twórczości.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Kilka przykładów jego prac: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 "</w:t>
            </w:r>
            <w:proofErr w:type="spellStart"/>
            <w:r>
              <w:rPr>
                <w:color w:val="000000"/>
              </w:rPr>
              <w:t>Whaam</w:t>
            </w:r>
            <w:proofErr w:type="spellEnd"/>
            <w:r>
              <w:rPr>
                <w:color w:val="000000"/>
              </w:rPr>
              <w:t>!" (1963) - jedna z najbard</w:t>
            </w:r>
            <w:r>
              <w:rPr>
                <w:color w:val="000000"/>
              </w:rPr>
              <w:t>ziej znanych prac Lichtensteina, która jest doskonałym przykładem jego stylu. Obraz przedstawia scenę powietrznych walk wojennych, a jego wyraziste linie i intensywne kolory przyciągają uwagę. Możesz wykorzystać tę pracę, aby pokazać, jak Lichtenstein prze</w:t>
            </w:r>
            <w:r>
              <w:rPr>
                <w:color w:val="000000"/>
              </w:rPr>
              <w:t>kształcił sceny akcji w sztukę komiksową.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 "</w:t>
            </w:r>
            <w:proofErr w:type="spellStart"/>
            <w:r>
              <w:rPr>
                <w:color w:val="000000"/>
              </w:rPr>
              <w:t>Drowning</w:t>
            </w:r>
            <w:proofErr w:type="spellEnd"/>
            <w:r>
              <w:rPr>
                <w:color w:val="000000"/>
              </w:rPr>
              <w:t xml:space="preserve"> Girl" (1963) - jedna z bardziej emocjonalnych prac Lichtensteina, przedstawiająca dziewczynę tonącą w wodzie i wykrzykującą: "I </w:t>
            </w:r>
            <w:proofErr w:type="spellStart"/>
            <w:r>
              <w:rPr>
                <w:color w:val="000000"/>
              </w:rPr>
              <w:t>don't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care</w:t>
            </w:r>
            <w:proofErr w:type="spellEnd"/>
            <w:r>
              <w:rPr>
                <w:color w:val="000000"/>
              </w:rPr>
              <w:t xml:space="preserve">! </w:t>
            </w:r>
            <w:proofErr w:type="spellStart"/>
            <w:r>
              <w:rPr>
                <w:color w:val="000000"/>
              </w:rPr>
              <w:t>I'd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rather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Brad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help</w:t>
            </w:r>
            <w:proofErr w:type="spellEnd"/>
            <w:r>
              <w:rPr>
                <w:color w:val="000000"/>
              </w:rPr>
              <w:t xml:space="preserve">!". Praca ta może być </w:t>
            </w:r>
            <w:r>
              <w:rPr>
                <w:color w:val="000000"/>
              </w:rPr>
              <w:t>użyta, aby zainicjować dyskusję na temat emocji i wyrażania ich za pomocą komiksów.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 "</w:t>
            </w:r>
            <w:proofErr w:type="spellStart"/>
            <w:r>
              <w:rPr>
                <w:color w:val="000000"/>
              </w:rPr>
              <w:t>Oh</w:t>
            </w:r>
            <w:proofErr w:type="spellEnd"/>
            <w:r>
              <w:rPr>
                <w:color w:val="000000"/>
              </w:rPr>
              <w:t xml:space="preserve">, Jeff...I Love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>, Too...But..." (1964) - praca przedstawia kobietę wydająca skomplikowane myśli dotyczące miłości. Może być użyta do omówienia tematów związków i emocji w komiksach.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4. "Girl With </w:t>
            </w:r>
            <w:proofErr w:type="spellStart"/>
            <w:r>
              <w:rPr>
                <w:color w:val="000000"/>
              </w:rPr>
              <w:t>Hair</w:t>
            </w:r>
            <w:proofErr w:type="spellEnd"/>
            <w:r>
              <w:rPr>
                <w:color w:val="000000"/>
              </w:rPr>
              <w:t xml:space="preserve"> Ribbon" (1965) - bardziej spokojna i delikatna</w:t>
            </w:r>
            <w:r>
              <w:rPr>
                <w:color w:val="000000"/>
              </w:rPr>
              <w:t xml:space="preserve"> praca Lichtensteina przedstawiająca dziewczynę ze wstążką we włosach. Idealna do dyskusji na temat różnorodności stylów w komiksach. 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5. "</w:t>
            </w:r>
            <w:proofErr w:type="spellStart"/>
            <w:r>
              <w:rPr>
                <w:color w:val="000000"/>
              </w:rPr>
              <w:t>Washing</w:t>
            </w:r>
            <w:proofErr w:type="spellEnd"/>
            <w:r>
              <w:rPr>
                <w:color w:val="000000"/>
              </w:rPr>
              <w:t xml:space="preserve"> Machine" (1961) - praca ta przedstawia obraz w pralce, nawiązując do kultury konsumpcjonizmu. Możesz wykorzys</w:t>
            </w:r>
            <w:r>
              <w:rPr>
                <w:color w:val="000000"/>
              </w:rPr>
              <w:t>tać ją, aby rozmawiać o konsumpcji i reklamie w komiksach.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Podsumowanie:</w:t>
            </w:r>
            <w:r>
              <w:rPr>
                <w:color w:val="000000"/>
              </w:rPr>
              <w:br/>
              <w:t xml:space="preserve">Roy Lichtenstein jest ikoną pop </w:t>
            </w:r>
            <w:proofErr w:type="spellStart"/>
            <w:r>
              <w:rPr>
                <w:color w:val="000000"/>
              </w:rPr>
              <w:t>artu</w:t>
            </w:r>
            <w:proofErr w:type="spellEnd"/>
            <w:r>
              <w:rPr>
                <w:color w:val="000000"/>
              </w:rPr>
              <w:t xml:space="preserve"> i twórcą, który wykorzystywał styl komiksowy do tworzenia niesamowitych dzieł sztuki. Jego prace stanowią doskonałą inspirację dla naszych warszta</w:t>
            </w:r>
            <w:r>
              <w:rPr>
                <w:color w:val="000000"/>
              </w:rPr>
              <w:t>tów, podczas których osoby uczestniczące będą mogły odkryć i wyrazić swoje własne wizje "Przestrzeni Młodych" w Lublinie w sposób wyjątkowo kreatywny.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Komiks:</w:t>
            </w:r>
            <w:r>
              <w:rPr>
                <w:color w:val="000000"/>
              </w:rPr>
              <w:br/>
              <w:t>Komiks to forma sztuki powstała w Stanach Zjednoczonych, która łączy obrazy i tekst, aby opowiada</w:t>
            </w:r>
            <w:r>
              <w:rPr>
                <w:color w:val="000000"/>
              </w:rPr>
              <w:t xml:space="preserve">ć historie. Może być o </w:t>
            </w:r>
            <w:proofErr w:type="spellStart"/>
            <w:r>
              <w:rPr>
                <w:color w:val="000000"/>
              </w:rPr>
              <w:t>superbohaterach</w:t>
            </w:r>
            <w:proofErr w:type="spellEnd"/>
            <w:r>
              <w:rPr>
                <w:color w:val="000000"/>
              </w:rPr>
              <w:t>, zabawnych sytuacjach lub naszych ulubionych miejscach. Komiks wyróżnia się swoim wyjątkowym stylem artystycznym, a każda strona komiksu składa się z różnych scen, w których obrazki i tekst układają się w spójny przeb</w:t>
            </w:r>
            <w:r>
              <w:rPr>
                <w:color w:val="000000"/>
              </w:rPr>
              <w:t>ieg zdarzeń. Komiks ma potencjał do przekazywania treści edukacyjnych i promowania kreatywności. W przypadku warsztatów "Młodzi w komiksie. Lublin na oku", komiks służy jako narzędzie do wyrażania zainteresowań, historii i promowania młodzieżowych miejsc w</w:t>
            </w:r>
            <w:r>
              <w:rPr>
                <w:color w:val="000000"/>
              </w:rPr>
              <w:t xml:space="preserve"> Lublinie. Uczestnicy tych warsztatów wykorzystują elementy komiksu, takie jak "dymki" i ilustracje, aby stworzyć własne dzieła.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widowControl w:val="0"/>
            </w:pPr>
            <w:r>
              <w:rPr>
                <w:color w:val="000000"/>
              </w:rPr>
              <w:lastRenderedPageBreak/>
              <w:t>10 min</w:t>
            </w:r>
          </w:p>
        </w:tc>
      </w:tr>
      <w:tr w:rsidR="000F72A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</w:pPr>
            <w:r>
              <w:rPr>
                <w:color w:val="000000"/>
              </w:rPr>
              <w:lastRenderedPageBreak/>
              <w:t>Poznajmy się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Przygotowanie: Przygotuj plansze z pytaniami lub zadaniem w formie komiksu lub grafiki.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Rozdaj osobom ucze</w:t>
            </w:r>
            <w:r>
              <w:rPr>
                <w:color w:val="000000"/>
              </w:rPr>
              <w:t xml:space="preserve">stniczącym zestaw kart z pytaniami lub instrukcjami. Każda karta zawiera jedno z pytań dotyczących spędzania wolnego czasu, hobby lub aktywności młodzieży w Lublinie. 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Poproś osoby uczestniczące, aby usiedli w kole i rozpocznij rozmowę od lewej strony. Każ</w:t>
            </w:r>
            <w:r>
              <w:rPr>
                <w:color w:val="000000"/>
              </w:rPr>
              <w:t>da osoba uczestnicząca, po kolei, powinna zaprezentować się swoim imieniem i odpowiedzieć na pytanie.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Następnie pokazać kartę, aby wszyscy widzieli.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Karty z pytaniami są z ilustracjami w stylu pop art, mają na celu zainspirować młodzież.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Podziękuj osobom uczestniczącym za podzielenie się swoimi pasjami i aktywnościami. Zaznacz, że te informacje pomogą w tworzeniu komiksu o młodzieżowych miejscach w Lublinie.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 min</w:t>
            </w:r>
          </w:p>
          <w:p w:rsidR="000F72AD" w:rsidRDefault="000F72AD">
            <w:pPr>
              <w:widowControl w:val="0"/>
            </w:pPr>
          </w:p>
        </w:tc>
      </w:tr>
      <w:tr w:rsidR="000F72A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</w:pPr>
            <w:r>
              <w:rPr>
                <w:color w:val="000000"/>
              </w:rPr>
              <w:lastRenderedPageBreak/>
              <w:t>Fotografowanie Przestrzeni Młodych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Każda z osób uczestniczących ma za zadanie sfotografować coś interesującego, ciekawy detal, przedmiot lub zrobić selfie, wykonując aktywność związaną z miejscem.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widowControl w:val="0"/>
            </w:pPr>
            <w:r>
              <w:rPr>
                <w:color w:val="000000"/>
              </w:rPr>
              <w:t>10 min</w:t>
            </w:r>
          </w:p>
        </w:tc>
      </w:tr>
      <w:tr w:rsidR="000F72A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</w:pPr>
            <w:r>
              <w:rPr>
                <w:color w:val="000000"/>
              </w:rPr>
              <w:t>Tworzenie komiksów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Rozdaj osobom uczestniczącym kartki papieru, markery i cienkopisy. </w:t>
            </w:r>
            <w:r>
              <w:rPr>
                <w:color w:val="000000"/>
              </w:rPr>
              <w:t>Każda z osób uczestniczących ma teraz za zadanie stworzyć komiks lub rysunek, który zainspirowany jest twórczością Roya Lichtensteina lub być ich własną inwencją twórczą. Komiks ma nawiązywać do przestrzeni młodych w Lublinie. Pozwól, aby mogła podziałać w</w:t>
            </w:r>
            <w:r>
              <w:rPr>
                <w:color w:val="000000"/>
              </w:rPr>
              <w:t>yobraźnia i każdy mógł wyrazić swój styl.</w:t>
            </w:r>
          </w:p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Osoby uczestniczące mogą dostać dwie kartki, z których każda może stanowić kolejną część ich komiksu. Mogą również tworzyć różne kształty kompozycji, rozcinając kartkę na dowolne prostokąty, aby przekazać swoją his</w:t>
            </w:r>
            <w:r>
              <w:rPr>
                <w:color w:val="000000"/>
              </w:rPr>
              <w:t>torię. Ważne jest, aby ich prace opowiadały, co można robić w tej Młodzieżowej Przestrzeni, co im się podoba, jakie przedmioty ciekawią itp.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widowControl w:val="0"/>
            </w:pPr>
            <w:r>
              <w:rPr>
                <w:color w:val="000000"/>
              </w:rPr>
              <w:t>30 min </w:t>
            </w:r>
          </w:p>
        </w:tc>
      </w:tr>
      <w:tr w:rsidR="000F72A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Zakończenie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 koniec warsztatów przeprowadź krótką sesję zakończeniową. Podziękuj osobom uczestniczącym za udział i współpracę w tworzeniu komiksów. Podkreśl, że ich prace są wyjątkowe i odzwierciedlają różnorodne zainteresowania i pomysły dotyczące Przestrzeni Młody</w:t>
            </w:r>
            <w:r>
              <w:rPr>
                <w:color w:val="000000"/>
              </w:rPr>
              <w:t>ch w Lublinie. Porozmawiaj o tym, jakie miejsca w Lublinie są istotne dla młodzieży i dlaczego warto o nich opowiadać za pomocą komiksu. Zaznacz, że te historie pomogą promować te miejsca wśród innych młodych osób.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 min</w:t>
            </w:r>
          </w:p>
        </w:tc>
      </w:tr>
      <w:tr w:rsidR="000F72A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2AD" w:rsidRDefault="004B565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Ocenianie i feedback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Zaproś osoby </w:t>
            </w:r>
            <w:r>
              <w:rPr>
                <w:color w:val="000000"/>
              </w:rPr>
              <w:t>uczestniczące do podzielenia się swoimi przemyśleniami na temat warsztatów. Poproś o opinie, co im się podobało, a co można by poprawić. Zachęć osoby uczestniczące do wypełnienia ankiety (wydrukowany kod QR). Pozwól osobom uczestniczącym wyrazić swoje zdan</w:t>
            </w:r>
            <w:r>
              <w:rPr>
                <w:color w:val="000000"/>
              </w:rPr>
              <w:t>ie na temat wartości warsztatów i jakie nowe umiejętności zdobyli.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AD" w:rsidRDefault="004B565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 min</w:t>
            </w:r>
          </w:p>
        </w:tc>
      </w:tr>
    </w:tbl>
    <w:p w:rsidR="000F72AD" w:rsidRDefault="000F72AD"/>
    <w:sectPr w:rsidR="000F72AD">
      <w:headerReference w:type="default" r:id="rId10"/>
      <w:footerReference w:type="default" r:id="rId11"/>
      <w:pgSz w:w="11909" w:h="16834"/>
      <w:pgMar w:top="2764" w:right="1277" w:bottom="851" w:left="1440" w:header="624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57" w:rsidRDefault="004B5657">
      <w:pPr>
        <w:spacing w:line="240" w:lineRule="auto"/>
      </w:pPr>
      <w:r>
        <w:separator/>
      </w:r>
    </w:p>
  </w:endnote>
  <w:endnote w:type="continuationSeparator" w:id="0">
    <w:p w:rsidR="004B5657" w:rsidRDefault="004B5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AD" w:rsidRDefault="000F72A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7583" w:type="dxa"/>
      <w:tblInd w:w="9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7"/>
      <w:gridCol w:w="2478"/>
      <w:gridCol w:w="2478"/>
    </w:tblGrid>
    <w:tr w:rsidR="000F72AD">
      <w:trPr>
        <w:trHeight w:val="404"/>
      </w:trPr>
      <w:tc>
        <w:tcPr>
          <w:tcW w:w="2627" w:type="dxa"/>
          <w:vAlign w:val="center"/>
        </w:tcPr>
        <w:p w:rsidR="000F72AD" w:rsidRDefault="004B56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41386" cy="833260"/>
                <wp:effectExtent l="0" t="0" r="0" b="0"/>
                <wp:docPr id="126887169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0F72AD" w:rsidRDefault="004B56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97618" cy="675949"/>
                <wp:effectExtent l="0" t="0" r="0" b="0"/>
                <wp:docPr id="126887169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0F72AD" w:rsidRDefault="004B56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50171" cy="726014"/>
                <wp:effectExtent l="0" t="0" r="0" b="0"/>
                <wp:docPr id="126887169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F72AD">
      <w:trPr>
        <w:trHeight w:val="404"/>
      </w:trPr>
      <w:tc>
        <w:tcPr>
          <w:tcW w:w="7583" w:type="dxa"/>
          <w:gridSpan w:val="3"/>
          <w:vAlign w:val="center"/>
        </w:tcPr>
        <w:p w:rsidR="000F72AD" w:rsidRDefault="004B56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:rsidR="000F72AD" w:rsidRDefault="000F72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57" w:rsidRDefault="004B5657">
      <w:pPr>
        <w:spacing w:line="240" w:lineRule="auto"/>
      </w:pPr>
      <w:r>
        <w:separator/>
      </w:r>
    </w:p>
  </w:footnote>
  <w:footnote w:type="continuationSeparator" w:id="0">
    <w:p w:rsidR="004B5657" w:rsidRDefault="004B5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AD" w:rsidRDefault="004B5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5690870</wp:posOffset>
          </wp:positionH>
          <wp:positionV relativeFrom="paragraph">
            <wp:posOffset>-242569</wp:posOffset>
          </wp:positionV>
          <wp:extent cx="492125" cy="1019175"/>
          <wp:effectExtent l="0" t="0" r="0" b="0"/>
          <wp:wrapSquare wrapText="bothSides" distT="0" distB="0" distL="114300" distR="114300"/>
          <wp:docPr id="126887168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05F9"/>
    <w:multiLevelType w:val="multilevel"/>
    <w:tmpl w:val="92E4BE54"/>
    <w:lvl w:ilvl="0">
      <w:start w:val="90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D"/>
    <w:rsid w:val="000F72AD"/>
    <w:rsid w:val="004B5657"/>
    <w:rsid w:val="00D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399F"/>
  <w15:docId w15:val="{6EDCE544-E257-4C48-AE9D-F5A9D189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E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234E8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E234E8"/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307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07B5"/>
    <w:rPr>
      <w:color w:val="605E5C"/>
      <w:shd w:val="clear" w:color="auto" w:fill="E1DFDD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uXpXcPWb/CRFAI38q3SO8Cvsg==">CgMxLjA4AHIhMU1WNGxHLW5xakppcmZRUUcwLWVYZ1cxcTVmbmMwVVdo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Agata Cholewa</cp:lastModifiedBy>
  <cp:revision>2</cp:revision>
  <dcterms:created xsi:type="dcterms:W3CDTF">2024-01-31T09:23:00Z</dcterms:created>
  <dcterms:modified xsi:type="dcterms:W3CDTF">2024-01-31T09:23:00Z</dcterms:modified>
</cp:coreProperties>
</file>