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Zdobądź koszulkę Europejskiej Agencji Kosmicznej</w:t>
      </w:r>
      <w:r>
        <w:rPr>
          <w:rFonts w:cs="Arial" w:ascii="Arial" w:hAnsi="Arial"/>
          <w:b/>
          <w:sz w:val="24"/>
          <w:szCs w:val="24"/>
        </w:rPr>
        <w:t>”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Zdobądź koszulkę Europejskiej Agencji Kosmicznej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20-109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02 czerwca 2023</w:t>
      </w:r>
      <w:r>
        <w:rPr>
          <w:rFonts w:cs="Arial" w:ascii="Arial" w:hAnsi="Arial"/>
          <w:sz w:val="24"/>
          <w:szCs w:val="24"/>
        </w:rPr>
        <w:t xml:space="preserve">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momentu rozstrzygnięcia (tj. zamieszczenia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piętnastu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poprawnych odpowiedzi na zadanie konkursowe), a maksymalnie do 03 czerwca 2023 roku, do godz: 10:00.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Konkurs polega na zamieszczeniu w komentarzu pod postem konkursowym prawidłowej odpowiedzi na zadane pytanie, w możliwie jak najkrótszym czasie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. Pytanie konkursowe brzmi: Ile osób startowało w rekrutacji do Europejskiej Agencji Kosmicznej w marcu 2021 roku (to z tej rekrutacji do Agencji dostał się Sławosz Uznański).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b w:val="false"/>
          <w:bCs w:val="fals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Komentarz z prawidłową odpowiedzią należy zamieścić w jak najkrótszym czasie od momentu ogłoszenia Konkursu. W konkursie wygrywa pierwszych 15 osób, które wykonają zadanie konkursowe.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konkursowe, </w:t>
      </w:r>
      <w:r>
        <w:rPr>
          <w:rFonts w:cs="Arial" w:ascii="Arial" w:hAnsi="Arial"/>
          <w:b/>
          <w:sz w:val="24"/>
          <w:szCs w:val="24"/>
        </w:rPr>
        <w:t>imię i nazwisko uczestnika.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komentarzu pod postem konkursowym do dnia 03 czerwca 2023r.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są koszulki Europejskiej Agencji Kosmicznej (ESA) dla pierwszych 15 osób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po zakończeniu i rozstrzygnięciu konkursu.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dniu 3 czerwca, przy okazji spotkania ze Sławoszem Uznańskim (godzina 15:30, Akademickie Centrum Kultury Chatka Żaka, ul. Radziszewskiego 16</w:t>
      </w:r>
      <w:r>
        <w:rPr>
          <w:rFonts w:cs="Arial" w:ascii="Arial" w:hAnsi="Arial"/>
          <w:sz w:val="24"/>
          <w:szCs w:val="24"/>
        </w:rPr>
        <w:t xml:space="preserve">, o sposobie odbioru nagrody zwycięzcy zostaną poinformowani w wiadomości prywatnej.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4669610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LibreOffice/7.5.2.2$Windows_X86_64 LibreOffice_project/53bb9681a964705cf672590721dbc85eb4d0c3a2</Application>
  <AppVersion>15.0000</AppVersion>
  <Pages>2</Pages>
  <Words>560</Words>
  <Characters>3623</Characters>
  <CharactersWithSpaces>4126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2023-06-02T18:44:07Z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